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03D9" w14:textId="77777777" w:rsidR="00D01585" w:rsidRPr="00A60CC4" w:rsidRDefault="00D01585" w:rsidP="00D01585">
      <w:pPr>
        <w:jc w:val="both"/>
        <w:rPr>
          <w:rFonts w:eastAsia="Calibri" w:cstheme="minorHAnsi"/>
          <w:sz w:val="24"/>
          <w:szCs w:val="24"/>
        </w:rPr>
      </w:pPr>
      <w:bookmarkStart w:id="0" w:name="_Hlk219888273"/>
      <w:bookmarkEnd w:id="0"/>
    </w:p>
    <w:p w14:paraId="567E8E8C" w14:textId="77777777" w:rsidR="00D01585" w:rsidRPr="00A60CC4" w:rsidRDefault="00D01585" w:rsidP="00D01585">
      <w:pPr>
        <w:jc w:val="both"/>
        <w:rPr>
          <w:rFonts w:eastAsia="Calibri" w:cstheme="minorHAnsi"/>
          <w:sz w:val="24"/>
          <w:szCs w:val="24"/>
        </w:rPr>
      </w:pPr>
    </w:p>
    <w:p w14:paraId="502F6E4B" w14:textId="77777777" w:rsidR="00D01585" w:rsidRPr="00A60CC4" w:rsidRDefault="00D01585" w:rsidP="00D01585">
      <w:pPr>
        <w:jc w:val="both"/>
        <w:rPr>
          <w:rFonts w:eastAsia="Calibri" w:cstheme="minorHAnsi"/>
          <w:sz w:val="24"/>
          <w:szCs w:val="24"/>
        </w:rPr>
      </w:pPr>
    </w:p>
    <w:p w14:paraId="46A7207E" w14:textId="77777777" w:rsidR="00D01585" w:rsidRPr="00A60CC4" w:rsidRDefault="00D01585" w:rsidP="00D01585">
      <w:pPr>
        <w:jc w:val="both"/>
        <w:rPr>
          <w:rFonts w:eastAsia="Calibri" w:cstheme="minorHAnsi"/>
          <w:sz w:val="24"/>
          <w:szCs w:val="24"/>
        </w:rPr>
      </w:pPr>
    </w:p>
    <w:p w14:paraId="1496552C" w14:textId="77777777" w:rsidR="00D01585" w:rsidRPr="00A60CC4" w:rsidRDefault="00D01585" w:rsidP="00D01585">
      <w:pPr>
        <w:jc w:val="both"/>
        <w:rPr>
          <w:rFonts w:eastAsia="Calibri" w:cstheme="minorHAnsi"/>
          <w:sz w:val="24"/>
          <w:szCs w:val="24"/>
        </w:rPr>
      </w:pPr>
    </w:p>
    <w:p w14:paraId="664E32D4" w14:textId="77777777" w:rsidR="00D01585" w:rsidRPr="00A60CC4" w:rsidRDefault="00D01585" w:rsidP="00D01585">
      <w:pPr>
        <w:jc w:val="both"/>
        <w:rPr>
          <w:rFonts w:eastAsia="Calibri" w:cstheme="minorHAnsi"/>
          <w:sz w:val="24"/>
          <w:szCs w:val="24"/>
        </w:rPr>
      </w:pPr>
    </w:p>
    <w:p w14:paraId="6100D18B" w14:textId="77777777" w:rsidR="00D01585" w:rsidRPr="00A60CC4" w:rsidRDefault="00D01585" w:rsidP="00D01585">
      <w:pPr>
        <w:jc w:val="both"/>
        <w:rPr>
          <w:rFonts w:eastAsia="Calibri" w:cstheme="minorHAnsi"/>
          <w:sz w:val="24"/>
          <w:szCs w:val="24"/>
        </w:rPr>
      </w:pPr>
    </w:p>
    <w:p w14:paraId="7773BC3A" w14:textId="77777777" w:rsidR="00D01585" w:rsidRPr="00A60CC4" w:rsidRDefault="00D01585" w:rsidP="00D01585">
      <w:pPr>
        <w:jc w:val="both"/>
        <w:rPr>
          <w:rFonts w:eastAsia="Calibri" w:cstheme="minorHAnsi"/>
          <w:sz w:val="24"/>
          <w:szCs w:val="24"/>
        </w:rPr>
      </w:pPr>
    </w:p>
    <w:p w14:paraId="2E08EB24" w14:textId="77777777" w:rsidR="00D01585" w:rsidRPr="00A60CC4" w:rsidRDefault="00D01585" w:rsidP="00D01585">
      <w:pPr>
        <w:jc w:val="both"/>
        <w:rPr>
          <w:rFonts w:eastAsia="Calibri" w:cstheme="minorHAnsi"/>
          <w:sz w:val="24"/>
          <w:szCs w:val="24"/>
        </w:rPr>
      </w:pPr>
    </w:p>
    <w:p w14:paraId="2731977A" w14:textId="77777777" w:rsidR="00D01585" w:rsidRPr="00A60CC4" w:rsidRDefault="009A6271" w:rsidP="00D01585">
      <w:pPr>
        <w:jc w:val="both"/>
        <w:rPr>
          <w:rFonts w:eastAsia="Calibri" w:cstheme="minorHAnsi"/>
          <w:sz w:val="24"/>
          <w:szCs w:val="24"/>
        </w:rPr>
      </w:pPr>
      <w:r w:rsidRPr="00A60CC4">
        <w:rPr>
          <w:rFonts w:eastAsia="Calibri" w:cstheme="minorHAnsi"/>
          <w:noProof/>
          <w:sz w:val="24"/>
          <w:szCs w:val="24"/>
          <w:lang w:eastAsia="en-IN"/>
        </w:rPr>
        <w:drawing>
          <wp:inline distT="0" distB="0" distL="0" distR="0" wp14:anchorId="2066FDC3" wp14:editId="2A21D564">
            <wp:extent cx="5731510" cy="892175"/>
            <wp:effectExtent l="0" t="0" r="2540" b="3175"/>
            <wp:docPr id="1" name="Picture 1"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sign&#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892175"/>
                    </a:xfrm>
                    <a:prstGeom prst="rect">
                      <a:avLst/>
                    </a:prstGeom>
                  </pic:spPr>
                </pic:pic>
              </a:graphicData>
            </a:graphic>
          </wp:inline>
        </w:drawing>
      </w:r>
    </w:p>
    <w:p w14:paraId="348CDD2A" w14:textId="77777777" w:rsidR="00D01585" w:rsidRPr="00A60CC4" w:rsidRDefault="00D01585" w:rsidP="00D01585">
      <w:pPr>
        <w:jc w:val="both"/>
        <w:rPr>
          <w:rFonts w:eastAsia="Calibri" w:cstheme="minorHAnsi"/>
          <w:sz w:val="24"/>
          <w:szCs w:val="24"/>
        </w:rPr>
      </w:pPr>
    </w:p>
    <w:p w14:paraId="1B0D76CB" w14:textId="77777777" w:rsidR="00D01585" w:rsidRPr="00A60CC4" w:rsidRDefault="009A6271" w:rsidP="00D01585">
      <w:pPr>
        <w:jc w:val="both"/>
        <w:rPr>
          <w:rFonts w:eastAsia="Calibri" w:cstheme="minorHAnsi"/>
          <w:sz w:val="24"/>
          <w:szCs w:val="24"/>
        </w:rPr>
      </w:pPr>
      <w:r w:rsidRPr="00A60CC4">
        <w:rPr>
          <w:rFonts w:eastAsia="Calibri" w:cstheme="minorHAnsi"/>
          <w:noProof/>
          <w:sz w:val="24"/>
          <w:szCs w:val="24"/>
          <w:lang w:eastAsia="en-IN"/>
        </w:rPr>
        <mc:AlternateContent>
          <mc:Choice Requires="wps">
            <w:drawing>
              <wp:anchor distT="0" distB="0" distL="114300" distR="114300" simplePos="0" relativeHeight="251659264" behindDoc="0" locked="0" layoutInCell="1" allowOverlap="1" wp14:anchorId="26D76A72" wp14:editId="3D6FA228">
                <wp:simplePos x="0" y="0"/>
                <wp:positionH relativeFrom="margin">
                  <wp:posOffset>440055</wp:posOffset>
                </wp:positionH>
                <wp:positionV relativeFrom="page">
                  <wp:posOffset>5299075</wp:posOffset>
                </wp:positionV>
                <wp:extent cx="4725035" cy="1069340"/>
                <wp:effectExtent l="0" t="0" r="0" b="10160"/>
                <wp:wrapNone/>
                <wp:docPr id="3" name="Text Box 3"/>
                <wp:cNvGraphicFramePr/>
                <a:graphic xmlns:a="http://schemas.openxmlformats.org/drawingml/2006/main">
                  <a:graphicData uri="http://schemas.microsoft.com/office/word/2010/wordprocessingShape">
                    <wps:wsp>
                      <wps:cNvSpPr txBox="1"/>
                      <wps:spPr>
                        <a:xfrm>
                          <a:off x="0" y="0"/>
                          <a:ext cx="4725035" cy="1069340"/>
                        </a:xfrm>
                        <a:prstGeom prst="rect">
                          <a:avLst/>
                        </a:prstGeom>
                        <a:noFill/>
                        <a:ln w="6350">
                          <a:noFill/>
                        </a:ln>
                        <a:effectLst/>
                      </wps:spPr>
                      <wps:txbx>
                        <w:txbxContent>
                          <w:p w14:paraId="461BB6C8" w14:textId="77777777" w:rsidR="00D01585" w:rsidRPr="00EE70C6" w:rsidRDefault="00D01585" w:rsidP="00D01585">
                            <w:pPr>
                              <w:jc w:val="center"/>
                              <w:rPr>
                                <w:rFonts w:ascii="Aptos" w:hAnsi="Aptos"/>
                                <w:b/>
                                <w:bCs/>
                                <w:color w:val="404040"/>
                                <w:sz w:val="36"/>
                                <w:szCs w:val="36"/>
                              </w:rPr>
                            </w:pPr>
                            <w:r>
                              <w:rPr>
                                <w:rFonts w:ascii="Aptos" w:hAnsi="Aptos" w:cs="Calibri"/>
                                <w:b/>
                                <w:bCs/>
                                <w:color w:val="404040"/>
                                <w:sz w:val="36"/>
                                <w:szCs w:val="36"/>
                              </w:rPr>
                              <w:t>INTEREST RATE POLICY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6D76A72" id="_x0000_t202" coordsize="21600,21600" o:spt="202" path="m,l,21600r21600,l21600,xe">
                <v:stroke joinstyle="miter"/>
                <v:path gradientshapeok="t" o:connecttype="rect"/>
              </v:shapetype>
              <v:shape id="Text Box 3" o:spid="_x0000_s1026" type="#_x0000_t202" style="position:absolute;left:0;text-align:left;margin-left:34.65pt;margin-top:417.25pt;width:372.05pt;height:8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" filled="f" stroked="f" strokeweight=".5pt">
                <v:textbox style="mso-fit-shape-to-text:t" inset="0,0,0,0">
                  <w:txbxContent>
                    <w:p w14:paraId="461BB6C8" w14:textId="77777777" w:rsidR="00D01585" w:rsidRPr="00EE70C6" w:rsidRDefault="00D01585" w:rsidP="00D01585">
                      <w:pPr>
                        <w:jc w:val="center"/>
                        <w:rPr>
                          <w:rFonts w:ascii="Aptos" w:hAnsi="Aptos"/>
                          <w:b/>
                          <w:bCs/>
                          <w:color w:val="404040"/>
                          <w:sz w:val="36"/>
                          <w:szCs w:val="36"/>
                        </w:rPr>
                      </w:pPr>
                      <w:r>
                        <w:rPr>
                          <w:rFonts w:ascii="Aptos" w:hAnsi="Aptos" w:cs="Calibri"/>
                          <w:b/>
                          <w:bCs/>
                          <w:color w:val="404040"/>
                          <w:sz w:val="36"/>
                          <w:szCs w:val="36"/>
                        </w:rPr>
                        <w:t>INTEREST RATE POLICY</w:t>
                      </w:r>
                    </w:p>
                  </w:txbxContent>
                </v:textbox>
                <w10:wrap anchorx="margin" anchory="page"/>
              </v:shape>
            </w:pict>
          </mc:Fallback>
        </mc:AlternateContent>
      </w:r>
    </w:p>
    <w:p w14:paraId="303FF930" w14:textId="77777777" w:rsidR="00D01585" w:rsidRPr="00A60CC4" w:rsidRDefault="00D01585" w:rsidP="00D01585">
      <w:pPr>
        <w:jc w:val="both"/>
        <w:rPr>
          <w:rFonts w:eastAsia="Calibri" w:cstheme="minorHAnsi"/>
          <w:sz w:val="24"/>
          <w:szCs w:val="24"/>
        </w:rPr>
      </w:pPr>
    </w:p>
    <w:p w14:paraId="21477ACF" w14:textId="77777777" w:rsidR="00D01585" w:rsidRPr="00A60CC4" w:rsidRDefault="00D01585" w:rsidP="00D01585">
      <w:pPr>
        <w:jc w:val="both"/>
        <w:rPr>
          <w:rFonts w:eastAsia="Calibri" w:cstheme="minorHAnsi"/>
          <w:sz w:val="24"/>
          <w:szCs w:val="24"/>
        </w:rPr>
      </w:pPr>
    </w:p>
    <w:p w14:paraId="4E3F1EE8" w14:textId="77777777" w:rsidR="00D01585" w:rsidRPr="00A60CC4" w:rsidRDefault="00D01585" w:rsidP="00D01585">
      <w:pPr>
        <w:jc w:val="both"/>
        <w:rPr>
          <w:rFonts w:eastAsia="Calibri" w:cstheme="minorHAnsi"/>
          <w:sz w:val="24"/>
          <w:szCs w:val="24"/>
        </w:rPr>
      </w:pPr>
    </w:p>
    <w:p w14:paraId="66917D99" w14:textId="77777777" w:rsidR="00D01585" w:rsidRPr="00A60CC4" w:rsidRDefault="00D01585" w:rsidP="00D01585">
      <w:pPr>
        <w:jc w:val="both"/>
        <w:rPr>
          <w:rFonts w:eastAsia="Calibri" w:cstheme="minorHAnsi"/>
          <w:sz w:val="24"/>
          <w:szCs w:val="24"/>
        </w:rPr>
      </w:pPr>
    </w:p>
    <w:p w14:paraId="768C562F" w14:textId="77777777" w:rsidR="00D01585" w:rsidRPr="00A60CC4" w:rsidRDefault="00D01585" w:rsidP="00D01585">
      <w:pPr>
        <w:jc w:val="both"/>
        <w:rPr>
          <w:rFonts w:eastAsia="Calibri" w:cstheme="minorHAnsi"/>
          <w:sz w:val="24"/>
          <w:szCs w:val="24"/>
        </w:rPr>
      </w:pPr>
    </w:p>
    <w:p w14:paraId="00D32FBB" w14:textId="77777777" w:rsidR="00D01585" w:rsidRPr="00A60CC4" w:rsidRDefault="00D01585" w:rsidP="00D01585">
      <w:pPr>
        <w:jc w:val="both"/>
        <w:rPr>
          <w:rFonts w:eastAsia="Calibri" w:cstheme="minorHAnsi"/>
          <w:sz w:val="24"/>
          <w:szCs w:val="24"/>
        </w:rPr>
      </w:pPr>
    </w:p>
    <w:p w14:paraId="40DAC6B7" w14:textId="77777777" w:rsidR="00D01585" w:rsidRPr="00A60CC4" w:rsidRDefault="00D01585" w:rsidP="00D01585">
      <w:pPr>
        <w:jc w:val="both"/>
        <w:rPr>
          <w:rFonts w:eastAsia="Calibri" w:cstheme="minorHAnsi"/>
          <w:sz w:val="24"/>
          <w:szCs w:val="24"/>
        </w:rPr>
      </w:pPr>
    </w:p>
    <w:p w14:paraId="240633A6" w14:textId="77777777" w:rsidR="00D01585" w:rsidRPr="00A60CC4" w:rsidRDefault="00D01585" w:rsidP="00D01585">
      <w:pPr>
        <w:jc w:val="both"/>
        <w:rPr>
          <w:rFonts w:eastAsia="Calibri" w:cstheme="minorHAnsi"/>
          <w:sz w:val="24"/>
          <w:szCs w:val="24"/>
        </w:rPr>
      </w:pPr>
    </w:p>
    <w:p w14:paraId="1CF82C17" w14:textId="77777777" w:rsidR="00D01585" w:rsidRPr="00A60CC4" w:rsidRDefault="00D01585" w:rsidP="00D01585">
      <w:pPr>
        <w:jc w:val="both"/>
        <w:rPr>
          <w:rFonts w:eastAsia="Calibri" w:cstheme="minorHAnsi"/>
          <w:sz w:val="24"/>
          <w:szCs w:val="24"/>
        </w:rPr>
      </w:pPr>
    </w:p>
    <w:p w14:paraId="77C03E73" w14:textId="77777777" w:rsidR="00D01585" w:rsidRPr="00A60CC4" w:rsidRDefault="00D01585" w:rsidP="00D01585">
      <w:pPr>
        <w:jc w:val="both"/>
        <w:rPr>
          <w:rFonts w:eastAsia="Calibri" w:cstheme="minorHAnsi"/>
          <w:sz w:val="24"/>
          <w:szCs w:val="24"/>
        </w:rPr>
      </w:pPr>
    </w:p>
    <w:p w14:paraId="2528C8A6" w14:textId="77777777" w:rsidR="007712AC" w:rsidRDefault="007712AC" w:rsidP="00387A65">
      <w:pPr>
        <w:spacing w:after="0" w:line="240" w:lineRule="auto"/>
        <w:jc w:val="center"/>
        <w:rPr>
          <w:rFonts w:eastAsia="Times New Roman" w:cstheme="minorHAnsi"/>
          <w:b/>
          <w:color w:val="000080"/>
          <w:sz w:val="26"/>
          <w:szCs w:val="26"/>
        </w:rPr>
      </w:pPr>
    </w:p>
    <w:p w14:paraId="28A66059" w14:textId="77777777" w:rsidR="007712AC" w:rsidRPr="007712AC" w:rsidRDefault="007712AC" w:rsidP="007712AC">
      <w:pPr>
        <w:spacing w:after="0" w:line="240" w:lineRule="auto"/>
        <w:jc w:val="center"/>
        <w:rPr>
          <w:rFonts w:eastAsia="Times New Roman" w:cstheme="minorHAnsi"/>
          <w:b/>
          <w:color w:val="000080"/>
          <w:sz w:val="26"/>
          <w:szCs w:val="26"/>
        </w:rPr>
      </w:pPr>
    </w:p>
    <w:p w14:paraId="11CAFA38" w14:textId="77777777" w:rsidR="00C20E1B" w:rsidRPr="00C20E1B" w:rsidRDefault="00C20E1B" w:rsidP="00C20E1B">
      <w:pPr>
        <w:jc w:val="center"/>
        <w:rPr>
          <w:b/>
          <w:bCs/>
          <w:sz w:val="2"/>
          <w:szCs w:val="2"/>
        </w:rPr>
      </w:pPr>
    </w:p>
    <w:tbl>
      <w:tblPr>
        <w:tblStyle w:val="TableGrid"/>
        <w:tblW w:w="9174" w:type="dxa"/>
        <w:tblLook w:val="04A0" w:firstRow="1" w:lastRow="0" w:firstColumn="1" w:lastColumn="0" w:noHBand="0" w:noVBand="1"/>
      </w:tblPr>
      <w:tblGrid>
        <w:gridCol w:w="3685"/>
        <w:gridCol w:w="5489"/>
      </w:tblGrid>
      <w:tr w:rsidR="00ED59CC" w:rsidRPr="00270AD1" w14:paraId="0007B795" w14:textId="77777777" w:rsidTr="003D54E7">
        <w:trPr>
          <w:trHeight w:val="1133"/>
        </w:trPr>
        <w:tc>
          <w:tcPr>
            <w:tcW w:w="3685" w:type="dxa"/>
            <w:vAlign w:val="center"/>
          </w:tcPr>
          <w:p w14:paraId="32EDFF8D" w14:textId="77777777" w:rsidR="00ED59CC" w:rsidRPr="00270AD1" w:rsidRDefault="00ED59CC" w:rsidP="003D54E7">
            <w:pPr>
              <w:rPr>
                <w:rFonts w:cstheme="minorHAnsi"/>
                <w:b/>
                <w:sz w:val="24"/>
                <w:szCs w:val="24"/>
              </w:rPr>
            </w:pPr>
            <w:r w:rsidRPr="00270AD1">
              <w:rPr>
                <w:rFonts w:cstheme="minorHAnsi"/>
                <w:b/>
                <w:sz w:val="24"/>
                <w:szCs w:val="24"/>
              </w:rPr>
              <w:lastRenderedPageBreak/>
              <w:t>Name of Document</w:t>
            </w:r>
          </w:p>
        </w:tc>
        <w:tc>
          <w:tcPr>
            <w:tcW w:w="5489" w:type="dxa"/>
            <w:vAlign w:val="center"/>
          </w:tcPr>
          <w:p w14:paraId="6F718974" w14:textId="77777777" w:rsidR="00ED59CC" w:rsidRPr="00270AD1" w:rsidRDefault="00ED59CC" w:rsidP="003D54E7">
            <w:pPr>
              <w:rPr>
                <w:rFonts w:cstheme="minorHAnsi"/>
                <w:b/>
                <w:sz w:val="24"/>
                <w:szCs w:val="24"/>
              </w:rPr>
            </w:pPr>
            <w:r w:rsidRPr="00270AD1">
              <w:rPr>
                <w:rFonts w:cstheme="minorHAnsi"/>
                <w:b/>
                <w:sz w:val="24"/>
                <w:szCs w:val="24"/>
              </w:rPr>
              <w:t>Mahindra &amp; Mahindra Financial Services Limited</w:t>
            </w:r>
          </w:p>
          <w:p w14:paraId="71B3210C" w14:textId="77777777" w:rsidR="00ED59CC" w:rsidRPr="00270AD1" w:rsidRDefault="00ED59CC" w:rsidP="003D54E7">
            <w:pPr>
              <w:rPr>
                <w:rFonts w:cstheme="minorHAnsi"/>
                <w:b/>
                <w:sz w:val="24"/>
                <w:szCs w:val="24"/>
              </w:rPr>
            </w:pPr>
            <w:r w:rsidRPr="00270AD1">
              <w:rPr>
                <w:rFonts w:cstheme="minorHAnsi"/>
                <w:b/>
                <w:sz w:val="24"/>
                <w:szCs w:val="24"/>
              </w:rPr>
              <w:t>Interest Rate Policy</w:t>
            </w:r>
          </w:p>
        </w:tc>
      </w:tr>
      <w:tr w:rsidR="00ED59CC" w:rsidRPr="00270AD1" w14:paraId="2437F247" w14:textId="77777777" w:rsidTr="007712AC">
        <w:trPr>
          <w:trHeight w:val="792"/>
        </w:trPr>
        <w:tc>
          <w:tcPr>
            <w:tcW w:w="3685" w:type="dxa"/>
            <w:vAlign w:val="center"/>
          </w:tcPr>
          <w:p w14:paraId="431A8A19" w14:textId="77777777" w:rsidR="00ED59CC" w:rsidRPr="00270AD1" w:rsidRDefault="00ED59CC" w:rsidP="003D54E7">
            <w:pPr>
              <w:rPr>
                <w:rFonts w:cstheme="minorHAnsi"/>
                <w:b/>
                <w:sz w:val="24"/>
                <w:szCs w:val="24"/>
              </w:rPr>
            </w:pPr>
            <w:r w:rsidRPr="00270AD1">
              <w:rPr>
                <w:rFonts w:cstheme="minorHAnsi"/>
                <w:b/>
                <w:sz w:val="24"/>
                <w:szCs w:val="24"/>
              </w:rPr>
              <w:t>Version</w:t>
            </w:r>
          </w:p>
        </w:tc>
        <w:tc>
          <w:tcPr>
            <w:tcW w:w="5489" w:type="dxa"/>
            <w:vAlign w:val="center"/>
          </w:tcPr>
          <w:p w14:paraId="6C30B90C" w14:textId="4C961C51" w:rsidR="00ED59CC" w:rsidRPr="00270AD1" w:rsidRDefault="00E7112F" w:rsidP="003D54E7">
            <w:pPr>
              <w:rPr>
                <w:rFonts w:cstheme="minorHAnsi"/>
                <w:sz w:val="24"/>
                <w:szCs w:val="24"/>
              </w:rPr>
            </w:pPr>
            <w:r>
              <w:rPr>
                <w:rFonts w:cstheme="minorHAnsi"/>
                <w:sz w:val="24"/>
                <w:szCs w:val="24"/>
              </w:rPr>
              <w:t>6</w:t>
            </w:r>
            <w:r w:rsidR="00ED59CC" w:rsidRPr="00270AD1">
              <w:rPr>
                <w:rFonts w:cstheme="minorHAnsi"/>
                <w:sz w:val="24"/>
                <w:szCs w:val="24"/>
              </w:rPr>
              <w:t>.0</w:t>
            </w:r>
          </w:p>
        </w:tc>
      </w:tr>
      <w:tr w:rsidR="00ED59CC" w:rsidRPr="00270AD1" w14:paraId="23A443F1" w14:textId="77777777" w:rsidTr="003D54E7">
        <w:trPr>
          <w:trHeight w:val="814"/>
        </w:trPr>
        <w:tc>
          <w:tcPr>
            <w:tcW w:w="3685" w:type="dxa"/>
            <w:vAlign w:val="center"/>
          </w:tcPr>
          <w:p w14:paraId="11565D72" w14:textId="77777777" w:rsidR="00ED59CC" w:rsidRPr="00270AD1" w:rsidRDefault="00ED59CC" w:rsidP="003D54E7">
            <w:pPr>
              <w:rPr>
                <w:rFonts w:cstheme="minorHAnsi"/>
                <w:b/>
                <w:sz w:val="24"/>
                <w:szCs w:val="24"/>
              </w:rPr>
            </w:pPr>
            <w:r w:rsidRPr="00270AD1">
              <w:rPr>
                <w:rFonts w:cstheme="minorHAnsi"/>
                <w:b/>
                <w:sz w:val="24"/>
                <w:szCs w:val="24"/>
              </w:rPr>
              <w:t>State whether Policy / Code / Manual</w:t>
            </w:r>
          </w:p>
        </w:tc>
        <w:tc>
          <w:tcPr>
            <w:tcW w:w="5489" w:type="dxa"/>
            <w:vAlign w:val="center"/>
          </w:tcPr>
          <w:p w14:paraId="394B951D" w14:textId="77777777" w:rsidR="00ED59CC" w:rsidRPr="00270AD1" w:rsidRDefault="00ED59CC" w:rsidP="003D54E7">
            <w:pPr>
              <w:rPr>
                <w:rFonts w:cstheme="minorHAnsi"/>
                <w:sz w:val="24"/>
                <w:szCs w:val="24"/>
              </w:rPr>
            </w:pPr>
            <w:r w:rsidRPr="00270AD1">
              <w:rPr>
                <w:rFonts w:cstheme="minorHAnsi"/>
                <w:sz w:val="24"/>
                <w:szCs w:val="24"/>
              </w:rPr>
              <w:t>Policy and Procedures</w:t>
            </w:r>
          </w:p>
        </w:tc>
      </w:tr>
      <w:tr w:rsidR="00ED59CC" w:rsidRPr="00270AD1" w14:paraId="7A3D52C7" w14:textId="77777777" w:rsidTr="007712AC">
        <w:trPr>
          <w:trHeight w:val="1141"/>
        </w:trPr>
        <w:tc>
          <w:tcPr>
            <w:tcW w:w="3685" w:type="dxa"/>
            <w:vAlign w:val="center"/>
          </w:tcPr>
          <w:p w14:paraId="6FCF362F" w14:textId="77777777" w:rsidR="00ED59CC" w:rsidRPr="00270AD1" w:rsidRDefault="00ED59CC" w:rsidP="003D54E7">
            <w:pPr>
              <w:rPr>
                <w:rFonts w:cstheme="minorHAnsi"/>
                <w:b/>
                <w:sz w:val="24"/>
                <w:szCs w:val="24"/>
              </w:rPr>
            </w:pPr>
            <w:r w:rsidRPr="00270AD1">
              <w:rPr>
                <w:rFonts w:cstheme="minorHAnsi"/>
                <w:b/>
                <w:sz w:val="24"/>
                <w:szCs w:val="24"/>
              </w:rPr>
              <w:t>Group Level / Sector Level (Specify)</w:t>
            </w:r>
          </w:p>
        </w:tc>
        <w:tc>
          <w:tcPr>
            <w:tcW w:w="5489" w:type="dxa"/>
            <w:vAlign w:val="center"/>
          </w:tcPr>
          <w:p w14:paraId="7B5EADC5" w14:textId="77777777" w:rsidR="00ED59CC" w:rsidRPr="00270AD1" w:rsidRDefault="00ED59CC" w:rsidP="003D54E7">
            <w:pPr>
              <w:rPr>
                <w:rFonts w:cstheme="minorHAnsi"/>
                <w:sz w:val="24"/>
                <w:szCs w:val="24"/>
              </w:rPr>
            </w:pPr>
            <w:bookmarkStart w:id="1" w:name="OLE_LINK1"/>
            <w:r w:rsidRPr="00270AD1">
              <w:rPr>
                <w:rFonts w:cstheme="minorHAnsi"/>
                <w:sz w:val="24"/>
                <w:szCs w:val="24"/>
              </w:rPr>
              <w:t xml:space="preserve">Mahindra &amp; Mahindra Financial Services Limited </w:t>
            </w:r>
            <w:bookmarkEnd w:id="1"/>
            <w:r w:rsidRPr="00270AD1">
              <w:rPr>
                <w:rFonts w:cstheme="minorHAnsi"/>
                <w:sz w:val="24"/>
                <w:szCs w:val="24"/>
              </w:rPr>
              <w:t>Level</w:t>
            </w:r>
          </w:p>
        </w:tc>
      </w:tr>
      <w:tr w:rsidR="00ED59CC" w:rsidRPr="00270AD1" w14:paraId="626026C4" w14:textId="77777777" w:rsidTr="003D54E7">
        <w:trPr>
          <w:trHeight w:val="1119"/>
        </w:trPr>
        <w:tc>
          <w:tcPr>
            <w:tcW w:w="3685" w:type="dxa"/>
            <w:vAlign w:val="center"/>
          </w:tcPr>
          <w:p w14:paraId="1D9D9202" w14:textId="77777777" w:rsidR="00ED59CC" w:rsidRPr="00270AD1" w:rsidRDefault="00ED59CC" w:rsidP="003D54E7">
            <w:pPr>
              <w:rPr>
                <w:rFonts w:cstheme="minorHAnsi"/>
                <w:b/>
                <w:sz w:val="24"/>
                <w:szCs w:val="24"/>
              </w:rPr>
            </w:pPr>
            <w:r w:rsidRPr="00270AD1">
              <w:rPr>
                <w:rFonts w:cstheme="minorHAnsi"/>
                <w:b/>
                <w:sz w:val="24"/>
                <w:szCs w:val="24"/>
              </w:rPr>
              <w:t>Issuing Authority</w:t>
            </w:r>
          </w:p>
        </w:tc>
        <w:tc>
          <w:tcPr>
            <w:tcW w:w="5489" w:type="dxa"/>
            <w:vAlign w:val="center"/>
          </w:tcPr>
          <w:p w14:paraId="40F717FD" w14:textId="77777777" w:rsidR="00ED59CC" w:rsidRPr="00270AD1" w:rsidRDefault="00CF6B50" w:rsidP="003D54E7">
            <w:pPr>
              <w:rPr>
                <w:rFonts w:cstheme="minorHAnsi"/>
                <w:sz w:val="24"/>
                <w:szCs w:val="24"/>
              </w:rPr>
            </w:pPr>
            <w:r>
              <w:rPr>
                <w:rFonts w:cstheme="minorHAnsi"/>
                <w:sz w:val="24"/>
                <w:szCs w:val="24"/>
              </w:rPr>
              <w:t xml:space="preserve">Board of Directors </w:t>
            </w:r>
          </w:p>
        </w:tc>
      </w:tr>
      <w:tr w:rsidR="00ED59CC" w:rsidRPr="00270AD1" w14:paraId="13395B0D" w14:textId="77777777" w:rsidTr="007712AC">
        <w:trPr>
          <w:trHeight w:val="990"/>
        </w:trPr>
        <w:tc>
          <w:tcPr>
            <w:tcW w:w="3685" w:type="dxa"/>
            <w:vAlign w:val="center"/>
          </w:tcPr>
          <w:p w14:paraId="1DBC0F96" w14:textId="77777777" w:rsidR="00ED59CC" w:rsidRPr="00270AD1" w:rsidRDefault="00ED59CC" w:rsidP="003D54E7">
            <w:pPr>
              <w:rPr>
                <w:rFonts w:cstheme="minorHAnsi"/>
                <w:b/>
                <w:sz w:val="24"/>
                <w:szCs w:val="24"/>
              </w:rPr>
            </w:pPr>
            <w:r w:rsidRPr="00270AD1">
              <w:rPr>
                <w:rFonts w:cstheme="minorHAnsi"/>
                <w:b/>
                <w:sz w:val="24"/>
                <w:szCs w:val="24"/>
              </w:rPr>
              <w:t>Owner(s) of the Document</w:t>
            </w:r>
          </w:p>
        </w:tc>
        <w:tc>
          <w:tcPr>
            <w:tcW w:w="5489" w:type="dxa"/>
            <w:vAlign w:val="center"/>
          </w:tcPr>
          <w:p w14:paraId="52AEB3ED" w14:textId="77777777" w:rsidR="00CF6B50" w:rsidRPr="00270AD1" w:rsidRDefault="00F1599C" w:rsidP="00374904">
            <w:pPr>
              <w:rPr>
                <w:rFonts w:cstheme="minorHAnsi"/>
                <w:sz w:val="24"/>
                <w:szCs w:val="24"/>
              </w:rPr>
            </w:pPr>
            <w:r>
              <w:rPr>
                <w:rFonts w:cstheme="minorHAnsi"/>
                <w:sz w:val="24"/>
                <w:szCs w:val="24"/>
              </w:rPr>
              <w:t>Managing Director</w:t>
            </w:r>
            <w:r w:rsidR="008F668E">
              <w:rPr>
                <w:rFonts w:cstheme="minorHAnsi"/>
                <w:sz w:val="24"/>
                <w:szCs w:val="24"/>
              </w:rPr>
              <w:t xml:space="preserve"> &amp; CEO</w:t>
            </w:r>
          </w:p>
        </w:tc>
      </w:tr>
      <w:tr w:rsidR="00E042A7" w:rsidRPr="00270AD1" w14:paraId="4B9E5986" w14:textId="77777777" w:rsidTr="007712AC">
        <w:trPr>
          <w:trHeight w:val="848"/>
        </w:trPr>
        <w:tc>
          <w:tcPr>
            <w:tcW w:w="3685" w:type="dxa"/>
            <w:vAlign w:val="center"/>
          </w:tcPr>
          <w:p w14:paraId="1A66ADEF" w14:textId="77777777" w:rsidR="00E042A7" w:rsidRPr="00270AD1" w:rsidRDefault="00E042A7" w:rsidP="00E042A7">
            <w:pPr>
              <w:rPr>
                <w:rFonts w:cstheme="minorHAnsi"/>
                <w:b/>
                <w:sz w:val="24"/>
                <w:szCs w:val="24"/>
              </w:rPr>
            </w:pPr>
            <w:r w:rsidRPr="00270AD1">
              <w:rPr>
                <w:rFonts w:cstheme="minorHAnsi"/>
                <w:b/>
                <w:sz w:val="24"/>
                <w:szCs w:val="24"/>
              </w:rPr>
              <w:t>Effective Date of Document</w:t>
            </w:r>
          </w:p>
        </w:tc>
        <w:tc>
          <w:tcPr>
            <w:tcW w:w="5489" w:type="dxa"/>
            <w:vAlign w:val="center"/>
          </w:tcPr>
          <w:p w14:paraId="702B63BE" w14:textId="45ACB071" w:rsidR="00E042A7" w:rsidRPr="00270AD1" w:rsidRDefault="00621C52" w:rsidP="00E042A7">
            <w:pPr>
              <w:rPr>
                <w:rFonts w:cstheme="minorHAnsi"/>
                <w:sz w:val="24"/>
                <w:szCs w:val="24"/>
              </w:rPr>
            </w:pPr>
            <w:r>
              <w:rPr>
                <w:rFonts w:cstheme="minorHAnsi"/>
                <w:sz w:val="24"/>
                <w:szCs w:val="24"/>
              </w:rPr>
              <w:t>2</w:t>
            </w:r>
            <w:r w:rsidR="00CD65FD">
              <w:rPr>
                <w:rFonts w:cstheme="minorHAnsi"/>
                <w:sz w:val="24"/>
                <w:szCs w:val="24"/>
              </w:rPr>
              <w:t>4</w:t>
            </w:r>
            <w:r w:rsidRPr="00621C52">
              <w:rPr>
                <w:rFonts w:cstheme="minorHAnsi"/>
                <w:sz w:val="24"/>
                <w:szCs w:val="24"/>
                <w:vertAlign w:val="superscript"/>
              </w:rPr>
              <w:t>th</w:t>
            </w:r>
            <w:r>
              <w:rPr>
                <w:rFonts w:cstheme="minorHAnsi"/>
                <w:sz w:val="24"/>
                <w:szCs w:val="24"/>
              </w:rPr>
              <w:t xml:space="preserve"> </w:t>
            </w:r>
            <w:r w:rsidR="006A2BE9">
              <w:rPr>
                <w:rFonts w:cstheme="minorHAnsi"/>
                <w:sz w:val="24"/>
                <w:szCs w:val="24"/>
              </w:rPr>
              <w:t>April</w:t>
            </w:r>
            <w:r>
              <w:rPr>
                <w:rFonts w:cstheme="minorHAnsi"/>
                <w:sz w:val="24"/>
                <w:szCs w:val="24"/>
              </w:rPr>
              <w:t>’2026</w:t>
            </w:r>
          </w:p>
        </w:tc>
      </w:tr>
      <w:tr w:rsidR="00E042A7" w:rsidRPr="00270AD1" w14:paraId="686DCF4B" w14:textId="77777777" w:rsidTr="00572878">
        <w:trPr>
          <w:trHeight w:val="990"/>
        </w:trPr>
        <w:tc>
          <w:tcPr>
            <w:tcW w:w="3685" w:type="dxa"/>
            <w:vAlign w:val="center"/>
          </w:tcPr>
          <w:p w14:paraId="14DD39EE" w14:textId="77777777" w:rsidR="00E042A7" w:rsidRPr="00270AD1" w:rsidRDefault="00E042A7" w:rsidP="00E042A7">
            <w:pPr>
              <w:rPr>
                <w:rFonts w:cstheme="minorHAnsi"/>
                <w:b/>
                <w:sz w:val="24"/>
                <w:szCs w:val="24"/>
              </w:rPr>
            </w:pPr>
            <w:r w:rsidRPr="00270AD1">
              <w:rPr>
                <w:rFonts w:cstheme="minorHAnsi"/>
                <w:b/>
                <w:sz w:val="24"/>
                <w:szCs w:val="24"/>
              </w:rPr>
              <w:t>Release Date / Review Date</w:t>
            </w:r>
          </w:p>
        </w:tc>
        <w:tc>
          <w:tcPr>
            <w:tcW w:w="5489" w:type="dxa"/>
            <w:vAlign w:val="center"/>
          </w:tcPr>
          <w:p w14:paraId="0604278C" w14:textId="611D5B03" w:rsidR="00E042A7" w:rsidRPr="00270AD1" w:rsidRDefault="006A2BE9" w:rsidP="00E042A7">
            <w:pPr>
              <w:rPr>
                <w:rFonts w:cstheme="minorHAnsi"/>
                <w:sz w:val="24"/>
                <w:szCs w:val="24"/>
              </w:rPr>
            </w:pPr>
            <w:r>
              <w:rPr>
                <w:rFonts w:cstheme="minorHAnsi"/>
                <w:sz w:val="24"/>
                <w:szCs w:val="24"/>
              </w:rPr>
              <w:t>24</w:t>
            </w:r>
            <w:r w:rsidRPr="00621C52">
              <w:rPr>
                <w:rFonts w:cstheme="minorHAnsi"/>
                <w:sz w:val="24"/>
                <w:szCs w:val="24"/>
                <w:vertAlign w:val="superscript"/>
              </w:rPr>
              <w:t>th</w:t>
            </w:r>
            <w:r>
              <w:rPr>
                <w:rFonts w:cstheme="minorHAnsi"/>
                <w:sz w:val="24"/>
                <w:szCs w:val="24"/>
              </w:rPr>
              <w:t xml:space="preserve"> April’2026</w:t>
            </w:r>
          </w:p>
        </w:tc>
      </w:tr>
    </w:tbl>
    <w:p w14:paraId="57B65B3E" w14:textId="77777777" w:rsidR="00173D36" w:rsidRDefault="00173D36" w:rsidP="003E58C4">
      <w:pPr>
        <w:pStyle w:val="ListParagraph"/>
        <w:ind w:left="0"/>
        <w:jc w:val="both"/>
        <w:rPr>
          <w:rFonts w:cstheme="minorHAnsi"/>
          <w:b/>
          <w:bCs/>
          <w:sz w:val="24"/>
          <w:szCs w:val="24"/>
        </w:rPr>
      </w:pPr>
    </w:p>
    <w:p w14:paraId="09D7420D" w14:textId="77777777" w:rsidR="003E58C4" w:rsidRPr="00270AD1" w:rsidRDefault="00173D36" w:rsidP="003E58C4">
      <w:pPr>
        <w:pStyle w:val="ListParagraph"/>
        <w:ind w:left="0"/>
        <w:jc w:val="both"/>
        <w:rPr>
          <w:rFonts w:cstheme="minorHAnsi"/>
          <w:b/>
          <w:bCs/>
          <w:sz w:val="24"/>
          <w:szCs w:val="24"/>
        </w:rPr>
      </w:pPr>
      <w:r>
        <w:rPr>
          <w:rFonts w:cstheme="minorHAnsi"/>
          <w:b/>
          <w:bCs/>
          <w:sz w:val="24"/>
          <w:szCs w:val="24"/>
        </w:rPr>
        <w:t>R</w:t>
      </w:r>
      <w:r w:rsidR="003E58C4" w:rsidRPr="00270AD1">
        <w:rPr>
          <w:rFonts w:cstheme="minorHAnsi"/>
          <w:b/>
          <w:bCs/>
          <w:sz w:val="24"/>
          <w:szCs w:val="24"/>
        </w:rPr>
        <w:t>EV</w:t>
      </w:r>
      <w:r w:rsidR="003E58C4">
        <w:rPr>
          <w:rFonts w:cstheme="minorHAnsi"/>
          <w:b/>
          <w:bCs/>
          <w:sz w:val="24"/>
          <w:szCs w:val="24"/>
        </w:rPr>
        <w:t>I</w:t>
      </w:r>
      <w:r w:rsidR="003E58C4" w:rsidRPr="00270AD1">
        <w:rPr>
          <w:rFonts w:cstheme="minorHAnsi"/>
          <w:b/>
          <w:bCs/>
          <w:sz w:val="24"/>
          <w:szCs w:val="24"/>
        </w:rPr>
        <w:t>EW OF POLICY</w:t>
      </w:r>
    </w:p>
    <w:p w14:paraId="220DAF1C" w14:textId="77777777" w:rsidR="00173D36" w:rsidRDefault="003E58C4" w:rsidP="00173D36">
      <w:pPr>
        <w:jc w:val="both"/>
        <w:rPr>
          <w:sz w:val="24"/>
          <w:szCs w:val="24"/>
        </w:rPr>
      </w:pPr>
      <w:r w:rsidRPr="00270AD1">
        <w:rPr>
          <w:sz w:val="24"/>
          <w:szCs w:val="24"/>
        </w:rPr>
        <w:t>The Policy shall be reviewed once a year or in between if required due to changes required in the model</w:t>
      </w:r>
      <w:r>
        <w:rPr>
          <w:sz w:val="24"/>
          <w:szCs w:val="24"/>
        </w:rPr>
        <w:t>.</w:t>
      </w:r>
      <w:r w:rsidR="00173D36">
        <w:rPr>
          <w:sz w:val="24"/>
          <w:szCs w:val="24"/>
        </w:rPr>
        <w:t xml:space="preserve"> </w:t>
      </w:r>
    </w:p>
    <w:p w14:paraId="02039C78" w14:textId="77777777" w:rsidR="00173D36" w:rsidRDefault="00173D36">
      <w:pPr>
        <w:rPr>
          <w:sz w:val="24"/>
          <w:szCs w:val="24"/>
        </w:rPr>
      </w:pPr>
      <w:r>
        <w:rPr>
          <w:sz w:val="24"/>
          <w:szCs w:val="24"/>
        </w:rPr>
        <w:br w:type="page"/>
      </w:r>
    </w:p>
    <w:p w14:paraId="5F964C28" w14:textId="77777777" w:rsidR="00173D36" w:rsidRPr="00173D36" w:rsidRDefault="00173D36" w:rsidP="00173D36">
      <w:pPr>
        <w:jc w:val="both"/>
        <w:rPr>
          <w:sz w:val="24"/>
          <w:szCs w:val="24"/>
        </w:rPr>
      </w:pPr>
    </w:p>
    <w:p w14:paraId="23F48CF3" w14:textId="77777777" w:rsidR="00C0549B" w:rsidRPr="00A60CC4" w:rsidRDefault="00C0549B" w:rsidP="00C0549B">
      <w:pPr>
        <w:jc w:val="both"/>
        <w:rPr>
          <w:rFonts w:cstheme="minorHAnsi"/>
          <w:b/>
          <w:bCs/>
          <w:sz w:val="24"/>
          <w:szCs w:val="24"/>
        </w:rPr>
      </w:pPr>
      <w:r w:rsidRPr="00A60CC4">
        <w:rPr>
          <w:rFonts w:cstheme="minorHAnsi"/>
          <w:b/>
          <w:bCs/>
          <w:sz w:val="24"/>
          <w:szCs w:val="24"/>
        </w:rPr>
        <w:t>VERSION HISTORY:</w:t>
      </w:r>
    </w:p>
    <w:tbl>
      <w:tblPr>
        <w:tblStyle w:val="TableGrid"/>
        <w:tblW w:w="0" w:type="auto"/>
        <w:tblLook w:val="04A0" w:firstRow="1" w:lastRow="0" w:firstColumn="1" w:lastColumn="0" w:noHBand="0" w:noVBand="1"/>
      </w:tblPr>
      <w:tblGrid>
        <w:gridCol w:w="982"/>
        <w:gridCol w:w="1247"/>
        <w:gridCol w:w="2019"/>
        <w:gridCol w:w="5106"/>
      </w:tblGrid>
      <w:tr w:rsidR="00C0549B" w:rsidRPr="00A60CC4" w14:paraId="199B748D" w14:textId="77777777" w:rsidTr="00C0549B">
        <w:trPr>
          <w:trHeight w:val="251"/>
        </w:trPr>
        <w:tc>
          <w:tcPr>
            <w:tcW w:w="982" w:type="dxa"/>
            <w:shd w:val="clear" w:color="auto" w:fill="D9D9D9" w:themeFill="background1" w:themeFillShade="D9"/>
            <w:vAlign w:val="center"/>
          </w:tcPr>
          <w:p w14:paraId="77D01EC4" w14:textId="77777777" w:rsidR="00C0549B" w:rsidRPr="00A60CC4" w:rsidRDefault="00C0549B" w:rsidP="003B5983">
            <w:pPr>
              <w:rPr>
                <w:rFonts w:eastAsia="Times New Roman" w:cstheme="minorHAnsi"/>
                <w:b/>
                <w:bCs/>
                <w:sz w:val="24"/>
                <w:szCs w:val="24"/>
                <w:lang w:eastAsia="en-GB"/>
              </w:rPr>
            </w:pPr>
            <w:r w:rsidRPr="00A60CC4">
              <w:rPr>
                <w:rFonts w:eastAsia="Times New Roman" w:cstheme="minorHAnsi"/>
                <w:b/>
                <w:bCs/>
                <w:sz w:val="24"/>
                <w:szCs w:val="24"/>
                <w:lang w:eastAsia="en-GB"/>
              </w:rPr>
              <w:t>Version</w:t>
            </w:r>
          </w:p>
        </w:tc>
        <w:tc>
          <w:tcPr>
            <w:tcW w:w="1247" w:type="dxa"/>
            <w:shd w:val="clear" w:color="auto" w:fill="D9D9D9" w:themeFill="background1" w:themeFillShade="D9"/>
            <w:vAlign w:val="center"/>
          </w:tcPr>
          <w:p w14:paraId="063932E7" w14:textId="77777777" w:rsidR="00C0549B" w:rsidRPr="00A60CC4" w:rsidRDefault="00C0549B" w:rsidP="003B5983">
            <w:pPr>
              <w:rPr>
                <w:rFonts w:eastAsia="Times New Roman" w:cstheme="minorHAnsi"/>
                <w:b/>
                <w:bCs/>
                <w:sz w:val="24"/>
                <w:szCs w:val="24"/>
                <w:lang w:eastAsia="en-GB"/>
              </w:rPr>
            </w:pPr>
            <w:r w:rsidRPr="00A60CC4">
              <w:rPr>
                <w:rFonts w:eastAsia="Times New Roman" w:cstheme="minorHAnsi"/>
                <w:b/>
                <w:bCs/>
                <w:sz w:val="24"/>
                <w:szCs w:val="24"/>
                <w:lang w:eastAsia="en-GB"/>
              </w:rPr>
              <w:t>Approval</w:t>
            </w:r>
          </w:p>
        </w:tc>
        <w:tc>
          <w:tcPr>
            <w:tcW w:w="2019" w:type="dxa"/>
            <w:shd w:val="clear" w:color="auto" w:fill="D9D9D9" w:themeFill="background1" w:themeFillShade="D9"/>
            <w:vAlign w:val="center"/>
          </w:tcPr>
          <w:p w14:paraId="5B627865" w14:textId="77777777" w:rsidR="00C0549B" w:rsidRPr="00A60CC4" w:rsidRDefault="00C0549B" w:rsidP="003B5983">
            <w:pPr>
              <w:rPr>
                <w:rFonts w:eastAsia="Times New Roman" w:cstheme="minorHAnsi"/>
                <w:b/>
                <w:bCs/>
                <w:sz w:val="24"/>
                <w:szCs w:val="24"/>
                <w:lang w:eastAsia="en-GB"/>
              </w:rPr>
            </w:pPr>
            <w:r w:rsidRPr="00A60CC4">
              <w:rPr>
                <w:rFonts w:eastAsia="Times New Roman" w:cstheme="minorHAnsi"/>
                <w:b/>
                <w:bCs/>
                <w:sz w:val="24"/>
                <w:szCs w:val="24"/>
                <w:lang w:eastAsia="en-GB"/>
              </w:rPr>
              <w:t>Effective Date/ Release Date</w:t>
            </w:r>
          </w:p>
        </w:tc>
        <w:tc>
          <w:tcPr>
            <w:tcW w:w="5106" w:type="dxa"/>
            <w:shd w:val="clear" w:color="auto" w:fill="D9D9D9" w:themeFill="background1" w:themeFillShade="D9"/>
            <w:vAlign w:val="center"/>
          </w:tcPr>
          <w:p w14:paraId="6BB1A889" w14:textId="77777777" w:rsidR="00C0549B" w:rsidRPr="00A60CC4" w:rsidDel="005F3F58" w:rsidRDefault="00C0549B" w:rsidP="003B5983">
            <w:pPr>
              <w:rPr>
                <w:rFonts w:eastAsia="Times New Roman" w:cstheme="minorHAnsi"/>
                <w:b/>
                <w:bCs/>
                <w:sz w:val="24"/>
                <w:szCs w:val="24"/>
                <w:lang w:eastAsia="en-GB"/>
              </w:rPr>
            </w:pPr>
            <w:r w:rsidRPr="00A60CC4">
              <w:rPr>
                <w:rFonts w:eastAsia="Times New Roman" w:cstheme="minorHAnsi"/>
                <w:b/>
                <w:bCs/>
                <w:sz w:val="24"/>
                <w:szCs w:val="24"/>
                <w:lang w:eastAsia="en-GB"/>
              </w:rPr>
              <w:t>Changes Incorporated</w:t>
            </w:r>
          </w:p>
        </w:tc>
      </w:tr>
      <w:tr w:rsidR="00C0549B" w:rsidRPr="00A60CC4" w14:paraId="68C64A49" w14:textId="77777777" w:rsidTr="00C0549B">
        <w:trPr>
          <w:trHeight w:val="261"/>
        </w:trPr>
        <w:tc>
          <w:tcPr>
            <w:tcW w:w="982" w:type="dxa"/>
            <w:vAlign w:val="center"/>
          </w:tcPr>
          <w:p w14:paraId="7BD30489" w14:textId="77777777" w:rsidR="00C0549B" w:rsidRPr="00A60CC4" w:rsidRDefault="00C0549B" w:rsidP="003B5983">
            <w:pPr>
              <w:rPr>
                <w:rFonts w:eastAsia="Arial" w:cstheme="minorHAnsi"/>
                <w:b/>
                <w:bCs/>
                <w:color w:val="000000"/>
                <w:sz w:val="24"/>
                <w:szCs w:val="24"/>
              </w:rPr>
            </w:pPr>
            <w:r>
              <w:rPr>
                <w:rFonts w:eastAsia="Arial" w:cstheme="minorHAnsi"/>
                <w:b/>
                <w:bCs/>
                <w:color w:val="000000"/>
                <w:sz w:val="24"/>
                <w:szCs w:val="24"/>
              </w:rPr>
              <w:t>1.0</w:t>
            </w:r>
          </w:p>
        </w:tc>
        <w:tc>
          <w:tcPr>
            <w:tcW w:w="1247" w:type="dxa"/>
            <w:vAlign w:val="center"/>
          </w:tcPr>
          <w:p w14:paraId="6961E843" w14:textId="77777777" w:rsidR="00C0549B" w:rsidRPr="00A60CC4" w:rsidRDefault="00C0549B" w:rsidP="003B5983">
            <w:pPr>
              <w:rPr>
                <w:rFonts w:cstheme="minorHAnsi"/>
                <w:sz w:val="24"/>
                <w:szCs w:val="24"/>
              </w:rPr>
            </w:pPr>
            <w:r>
              <w:rPr>
                <w:rFonts w:cstheme="minorHAnsi"/>
                <w:sz w:val="24"/>
                <w:szCs w:val="24"/>
              </w:rPr>
              <w:t>November 2022</w:t>
            </w:r>
          </w:p>
        </w:tc>
        <w:tc>
          <w:tcPr>
            <w:tcW w:w="2019" w:type="dxa"/>
            <w:vAlign w:val="center"/>
          </w:tcPr>
          <w:p w14:paraId="6C185324" w14:textId="77777777" w:rsidR="00C0549B" w:rsidRPr="00A60CC4" w:rsidRDefault="00C0549B" w:rsidP="003B5983">
            <w:pPr>
              <w:tabs>
                <w:tab w:val="center" w:pos="2592"/>
                <w:tab w:val="right" w:pos="5185"/>
              </w:tabs>
              <w:rPr>
                <w:rFonts w:cstheme="minorHAnsi"/>
                <w:sz w:val="24"/>
                <w:szCs w:val="24"/>
              </w:rPr>
            </w:pPr>
            <w:r>
              <w:rPr>
                <w:rFonts w:cstheme="minorHAnsi"/>
                <w:sz w:val="24"/>
                <w:szCs w:val="24"/>
              </w:rPr>
              <w:t>2</w:t>
            </w:r>
            <w:r w:rsidRPr="00C0549B">
              <w:rPr>
                <w:rFonts w:cstheme="minorHAnsi"/>
                <w:sz w:val="24"/>
                <w:szCs w:val="24"/>
                <w:vertAlign w:val="superscript"/>
              </w:rPr>
              <w:t>nd</w:t>
            </w:r>
            <w:r>
              <w:rPr>
                <w:rFonts w:cstheme="minorHAnsi"/>
                <w:sz w:val="24"/>
                <w:szCs w:val="24"/>
              </w:rPr>
              <w:t xml:space="preserve"> November’ </w:t>
            </w:r>
            <w:r w:rsidRPr="00270AD1">
              <w:rPr>
                <w:rFonts w:cstheme="minorHAnsi"/>
                <w:sz w:val="24"/>
                <w:szCs w:val="24"/>
              </w:rPr>
              <w:t>2022</w:t>
            </w:r>
          </w:p>
        </w:tc>
        <w:tc>
          <w:tcPr>
            <w:tcW w:w="5106" w:type="dxa"/>
            <w:vAlign w:val="center"/>
          </w:tcPr>
          <w:p w14:paraId="7C3A6F21" w14:textId="77777777" w:rsidR="00C0549B" w:rsidRPr="00A60CC4" w:rsidRDefault="00C0549B" w:rsidP="003B5983">
            <w:pPr>
              <w:tabs>
                <w:tab w:val="center" w:pos="2592"/>
                <w:tab w:val="right" w:pos="5185"/>
              </w:tabs>
              <w:rPr>
                <w:rFonts w:cstheme="minorHAnsi"/>
                <w:sz w:val="24"/>
                <w:szCs w:val="24"/>
              </w:rPr>
            </w:pPr>
            <w:r w:rsidRPr="00270AD1">
              <w:rPr>
                <w:rFonts w:cstheme="minorHAnsi"/>
                <w:sz w:val="24"/>
                <w:szCs w:val="24"/>
              </w:rPr>
              <w:t>Initial version</w:t>
            </w:r>
            <w:r>
              <w:rPr>
                <w:rFonts w:cstheme="minorHAnsi"/>
                <w:sz w:val="24"/>
                <w:szCs w:val="24"/>
              </w:rPr>
              <w:t>-new adoption</w:t>
            </w:r>
          </w:p>
        </w:tc>
      </w:tr>
      <w:tr w:rsidR="00C0549B" w:rsidRPr="00A60CC4" w14:paraId="5DE3577D" w14:textId="77777777" w:rsidTr="00C0549B">
        <w:trPr>
          <w:trHeight w:val="285"/>
        </w:trPr>
        <w:tc>
          <w:tcPr>
            <w:tcW w:w="982" w:type="dxa"/>
            <w:vAlign w:val="center"/>
          </w:tcPr>
          <w:p w14:paraId="1A1CB1C2" w14:textId="77777777" w:rsidR="00C0549B" w:rsidRPr="00A60CC4" w:rsidRDefault="00C0549B" w:rsidP="003B5983">
            <w:pPr>
              <w:rPr>
                <w:rFonts w:eastAsia="Arial" w:cstheme="minorHAnsi"/>
                <w:b/>
                <w:bCs/>
                <w:color w:val="000000"/>
                <w:sz w:val="24"/>
                <w:szCs w:val="24"/>
              </w:rPr>
            </w:pPr>
            <w:r>
              <w:rPr>
                <w:rFonts w:eastAsia="Arial" w:cstheme="minorHAnsi"/>
                <w:b/>
                <w:bCs/>
                <w:color w:val="000000"/>
                <w:sz w:val="24"/>
                <w:szCs w:val="24"/>
              </w:rPr>
              <w:t>2.0</w:t>
            </w:r>
          </w:p>
        </w:tc>
        <w:tc>
          <w:tcPr>
            <w:tcW w:w="1247" w:type="dxa"/>
            <w:vAlign w:val="center"/>
          </w:tcPr>
          <w:p w14:paraId="59DC0DC8" w14:textId="77777777" w:rsidR="00C0549B" w:rsidRPr="00A60CC4" w:rsidRDefault="00C0549B" w:rsidP="003B5983">
            <w:pPr>
              <w:rPr>
                <w:rFonts w:cstheme="minorHAnsi"/>
                <w:sz w:val="24"/>
                <w:szCs w:val="24"/>
              </w:rPr>
            </w:pPr>
            <w:r>
              <w:rPr>
                <w:rFonts w:cstheme="minorHAnsi"/>
                <w:sz w:val="24"/>
                <w:szCs w:val="24"/>
              </w:rPr>
              <w:t>February 2023</w:t>
            </w:r>
          </w:p>
        </w:tc>
        <w:tc>
          <w:tcPr>
            <w:tcW w:w="2019" w:type="dxa"/>
            <w:vAlign w:val="center"/>
          </w:tcPr>
          <w:p w14:paraId="6A09953C" w14:textId="77777777" w:rsidR="00C0549B" w:rsidRPr="00A60CC4" w:rsidRDefault="00C0549B" w:rsidP="003B5983">
            <w:pPr>
              <w:rPr>
                <w:rFonts w:cstheme="minorHAnsi"/>
                <w:sz w:val="24"/>
                <w:szCs w:val="24"/>
              </w:rPr>
            </w:pPr>
            <w:r>
              <w:rPr>
                <w:rFonts w:cstheme="minorHAnsi"/>
                <w:sz w:val="24"/>
                <w:szCs w:val="24"/>
              </w:rPr>
              <w:t>3</w:t>
            </w:r>
            <w:r w:rsidRPr="00C0549B">
              <w:rPr>
                <w:rFonts w:cstheme="minorHAnsi"/>
                <w:sz w:val="24"/>
                <w:szCs w:val="24"/>
                <w:vertAlign w:val="superscript"/>
              </w:rPr>
              <w:t>rd</w:t>
            </w:r>
            <w:r>
              <w:rPr>
                <w:rFonts w:cstheme="minorHAnsi"/>
                <w:sz w:val="24"/>
                <w:szCs w:val="24"/>
              </w:rPr>
              <w:t xml:space="preserve"> February’ 2023</w:t>
            </w:r>
          </w:p>
        </w:tc>
        <w:tc>
          <w:tcPr>
            <w:tcW w:w="5106" w:type="dxa"/>
            <w:vAlign w:val="center"/>
          </w:tcPr>
          <w:p w14:paraId="0CAF0800" w14:textId="77777777" w:rsidR="00C0549B" w:rsidRDefault="00C0549B" w:rsidP="00C0549B">
            <w:pPr>
              <w:jc w:val="both"/>
              <w:rPr>
                <w:rFonts w:cstheme="minorHAnsi"/>
                <w:b/>
              </w:rPr>
            </w:pPr>
            <w:r w:rsidRPr="00115819">
              <w:rPr>
                <w:rFonts w:cstheme="minorHAnsi"/>
                <w:b/>
              </w:rPr>
              <w:t xml:space="preserve">To incorporate  </w:t>
            </w:r>
          </w:p>
          <w:p w14:paraId="31D29C60" w14:textId="77777777" w:rsidR="00C0549B" w:rsidRDefault="00C0549B" w:rsidP="00C0549B">
            <w:pPr>
              <w:pStyle w:val="ListParagraph"/>
              <w:numPr>
                <w:ilvl w:val="0"/>
                <w:numId w:val="32"/>
              </w:numPr>
              <w:jc w:val="both"/>
              <w:rPr>
                <w:rFonts w:cstheme="minorHAnsi"/>
                <w:bCs/>
                <w:sz w:val="24"/>
                <w:szCs w:val="24"/>
              </w:rPr>
            </w:pPr>
            <w:r w:rsidRPr="006F3F94">
              <w:rPr>
                <w:rFonts w:cstheme="minorHAnsi"/>
                <w:bCs/>
                <w:sz w:val="24"/>
                <w:szCs w:val="24"/>
              </w:rPr>
              <w:t xml:space="preserve">Average Annualized Interest Rate charged to </w:t>
            </w:r>
            <w:r w:rsidR="001F37DF" w:rsidRPr="006F3F94">
              <w:rPr>
                <w:rFonts w:cstheme="minorHAnsi"/>
                <w:bCs/>
                <w:sz w:val="24"/>
                <w:szCs w:val="24"/>
              </w:rPr>
              <w:t>customers</w:t>
            </w:r>
            <w:r w:rsidRPr="006F3F94">
              <w:rPr>
                <w:rFonts w:cstheme="minorHAnsi"/>
                <w:bCs/>
                <w:sz w:val="24"/>
                <w:szCs w:val="24"/>
              </w:rPr>
              <w:t xml:space="preserve"> on monthly basis for each business segment instead of Minimum annualized interest Rate at product </w:t>
            </w:r>
            <w:r w:rsidR="001F37DF" w:rsidRPr="006F3F94">
              <w:rPr>
                <w:rFonts w:cstheme="minorHAnsi"/>
                <w:bCs/>
                <w:sz w:val="24"/>
                <w:szCs w:val="24"/>
              </w:rPr>
              <w:t>level.</w:t>
            </w:r>
          </w:p>
          <w:p w14:paraId="77C5E770" w14:textId="77777777" w:rsidR="00C0549B" w:rsidRPr="00572878" w:rsidRDefault="00C0549B" w:rsidP="00C0549B">
            <w:pPr>
              <w:pStyle w:val="ListParagraph"/>
              <w:numPr>
                <w:ilvl w:val="0"/>
                <w:numId w:val="32"/>
              </w:numPr>
              <w:jc w:val="both"/>
              <w:rPr>
                <w:rFonts w:cstheme="minorHAnsi"/>
                <w:bCs/>
                <w:sz w:val="24"/>
                <w:szCs w:val="24"/>
              </w:rPr>
            </w:pPr>
            <w:r w:rsidRPr="00572878">
              <w:rPr>
                <w:rFonts w:cstheme="minorHAnsi"/>
                <w:bCs/>
                <w:sz w:val="24"/>
                <w:szCs w:val="24"/>
              </w:rPr>
              <w:t xml:space="preserve">Update the approval metrics and </w:t>
            </w:r>
            <w:r w:rsidR="001F37DF" w:rsidRPr="00572878">
              <w:rPr>
                <w:rFonts w:cstheme="minorHAnsi"/>
                <w:bCs/>
                <w:sz w:val="24"/>
                <w:szCs w:val="24"/>
              </w:rPr>
              <w:t>add</w:t>
            </w:r>
            <w:r w:rsidRPr="00572878">
              <w:rPr>
                <w:rFonts w:cstheme="minorHAnsi"/>
                <w:bCs/>
                <w:sz w:val="24"/>
                <w:szCs w:val="24"/>
              </w:rPr>
              <w:t xml:space="preserve"> exceptions to the </w:t>
            </w:r>
            <w:r w:rsidR="001F37DF" w:rsidRPr="00572878">
              <w:rPr>
                <w:rFonts w:cstheme="minorHAnsi"/>
                <w:bCs/>
                <w:sz w:val="24"/>
                <w:szCs w:val="24"/>
              </w:rPr>
              <w:t>policy.</w:t>
            </w:r>
          </w:p>
          <w:p w14:paraId="7E4CA859" w14:textId="77777777" w:rsidR="00C0549B" w:rsidRPr="00A60CC4" w:rsidRDefault="00C0549B" w:rsidP="003B5983">
            <w:pPr>
              <w:rPr>
                <w:rFonts w:cstheme="minorHAnsi"/>
                <w:sz w:val="24"/>
                <w:szCs w:val="24"/>
              </w:rPr>
            </w:pPr>
          </w:p>
        </w:tc>
      </w:tr>
      <w:tr w:rsidR="00C0549B" w:rsidRPr="00A60CC4" w14:paraId="58967707" w14:textId="77777777" w:rsidTr="00C0549B">
        <w:trPr>
          <w:trHeight w:val="285"/>
        </w:trPr>
        <w:tc>
          <w:tcPr>
            <w:tcW w:w="982" w:type="dxa"/>
            <w:vAlign w:val="center"/>
          </w:tcPr>
          <w:p w14:paraId="75A04BAC" w14:textId="77777777" w:rsidR="00C0549B" w:rsidRDefault="00C0549B" w:rsidP="003B5983">
            <w:pPr>
              <w:rPr>
                <w:rFonts w:eastAsia="Arial" w:cstheme="minorHAnsi"/>
                <w:b/>
                <w:bCs/>
                <w:color w:val="000000"/>
                <w:sz w:val="24"/>
                <w:szCs w:val="24"/>
              </w:rPr>
            </w:pPr>
            <w:r>
              <w:rPr>
                <w:rFonts w:eastAsia="Arial" w:cstheme="minorHAnsi"/>
                <w:b/>
                <w:bCs/>
                <w:color w:val="000000"/>
                <w:sz w:val="24"/>
                <w:szCs w:val="24"/>
              </w:rPr>
              <w:t>3.0</w:t>
            </w:r>
          </w:p>
        </w:tc>
        <w:tc>
          <w:tcPr>
            <w:tcW w:w="1247" w:type="dxa"/>
            <w:vAlign w:val="center"/>
          </w:tcPr>
          <w:p w14:paraId="2183E997" w14:textId="77777777" w:rsidR="00C0549B" w:rsidRDefault="00C0549B" w:rsidP="003B5983">
            <w:pPr>
              <w:rPr>
                <w:rFonts w:cstheme="minorHAnsi"/>
                <w:sz w:val="24"/>
                <w:szCs w:val="24"/>
              </w:rPr>
            </w:pPr>
            <w:r>
              <w:rPr>
                <w:rFonts w:cstheme="minorHAnsi"/>
                <w:sz w:val="24"/>
                <w:szCs w:val="24"/>
              </w:rPr>
              <w:t>January 2024</w:t>
            </w:r>
          </w:p>
        </w:tc>
        <w:tc>
          <w:tcPr>
            <w:tcW w:w="2019" w:type="dxa"/>
            <w:vAlign w:val="center"/>
          </w:tcPr>
          <w:p w14:paraId="5CA5131B" w14:textId="77777777" w:rsidR="00C0549B" w:rsidRDefault="00C0549B" w:rsidP="003B5983">
            <w:pPr>
              <w:rPr>
                <w:rFonts w:cstheme="minorHAnsi"/>
                <w:sz w:val="24"/>
                <w:szCs w:val="24"/>
              </w:rPr>
            </w:pPr>
            <w:r>
              <w:rPr>
                <w:rFonts w:cstheme="minorHAnsi"/>
                <w:sz w:val="24"/>
                <w:szCs w:val="24"/>
              </w:rPr>
              <w:t>30</w:t>
            </w:r>
            <w:r w:rsidRPr="00C0549B">
              <w:rPr>
                <w:rFonts w:cstheme="minorHAnsi"/>
                <w:sz w:val="24"/>
                <w:szCs w:val="24"/>
                <w:vertAlign w:val="superscript"/>
              </w:rPr>
              <w:t>th</w:t>
            </w:r>
            <w:r>
              <w:rPr>
                <w:rFonts w:cstheme="minorHAnsi"/>
                <w:sz w:val="24"/>
                <w:szCs w:val="24"/>
              </w:rPr>
              <w:t xml:space="preserve"> January’ 2024</w:t>
            </w:r>
          </w:p>
        </w:tc>
        <w:tc>
          <w:tcPr>
            <w:tcW w:w="5106" w:type="dxa"/>
            <w:vAlign w:val="center"/>
          </w:tcPr>
          <w:p w14:paraId="43DAD710" w14:textId="77777777" w:rsidR="00C0549B" w:rsidRDefault="00C0549B" w:rsidP="00C0549B">
            <w:pPr>
              <w:jc w:val="both"/>
              <w:rPr>
                <w:rFonts w:cstheme="minorHAnsi"/>
                <w:b/>
              </w:rPr>
            </w:pPr>
            <w:r w:rsidRPr="00115819">
              <w:rPr>
                <w:rFonts w:cstheme="minorHAnsi"/>
                <w:b/>
              </w:rPr>
              <w:t xml:space="preserve">To incorporate  </w:t>
            </w:r>
          </w:p>
          <w:p w14:paraId="3D795C00" w14:textId="77777777" w:rsidR="00C0549B" w:rsidRDefault="00C0549B" w:rsidP="00C0549B">
            <w:pPr>
              <w:pStyle w:val="ListParagraph"/>
              <w:numPr>
                <w:ilvl w:val="0"/>
                <w:numId w:val="33"/>
              </w:numPr>
              <w:jc w:val="both"/>
              <w:rPr>
                <w:rFonts w:cstheme="minorHAnsi"/>
                <w:bCs/>
                <w:sz w:val="24"/>
                <w:szCs w:val="24"/>
              </w:rPr>
            </w:pPr>
            <w:r w:rsidRPr="00A652C7">
              <w:rPr>
                <w:rFonts w:cstheme="minorHAnsi"/>
                <w:bCs/>
                <w:sz w:val="24"/>
                <w:szCs w:val="24"/>
              </w:rPr>
              <w:t>A</w:t>
            </w:r>
            <w:r>
              <w:rPr>
                <w:rFonts w:cstheme="minorHAnsi"/>
                <w:bCs/>
                <w:sz w:val="24"/>
                <w:szCs w:val="24"/>
              </w:rPr>
              <w:t>mendment to the head “Business Segment(s)” whereby modifying the Business Segments as well as Authorization Matrix.</w:t>
            </w:r>
          </w:p>
          <w:p w14:paraId="73CB4802" w14:textId="77777777" w:rsidR="00C0549B" w:rsidRPr="00115819" w:rsidRDefault="00C0549B" w:rsidP="00C0549B">
            <w:pPr>
              <w:jc w:val="both"/>
              <w:rPr>
                <w:rFonts w:cstheme="minorHAnsi"/>
                <w:b/>
              </w:rPr>
            </w:pPr>
          </w:p>
        </w:tc>
      </w:tr>
      <w:tr w:rsidR="00C0549B" w:rsidRPr="00A60CC4" w14:paraId="2620647B" w14:textId="77777777" w:rsidTr="00C0549B">
        <w:trPr>
          <w:trHeight w:val="285"/>
        </w:trPr>
        <w:tc>
          <w:tcPr>
            <w:tcW w:w="982" w:type="dxa"/>
            <w:vAlign w:val="center"/>
          </w:tcPr>
          <w:p w14:paraId="1F611C97" w14:textId="77777777" w:rsidR="00C0549B" w:rsidRDefault="00C0549B" w:rsidP="003B5983">
            <w:pPr>
              <w:rPr>
                <w:rFonts w:eastAsia="Arial" w:cstheme="minorHAnsi"/>
                <w:b/>
                <w:bCs/>
                <w:color w:val="000000"/>
                <w:sz w:val="24"/>
                <w:szCs w:val="24"/>
              </w:rPr>
            </w:pPr>
            <w:r>
              <w:rPr>
                <w:rFonts w:eastAsia="Arial" w:cstheme="minorHAnsi"/>
                <w:b/>
                <w:bCs/>
                <w:color w:val="000000"/>
                <w:sz w:val="24"/>
                <w:szCs w:val="24"/>
              </w:rPr>
              <w:t>4.0</w:t>
            </w:r>
          </w:p>
        </w:tc>
        <w:tc>
          <w:tcPr>
            <w:tcW w:w="1247" w:type="dxa"/>
            <w:vAlign w:val="center"/>
          </w:tcPr>
          <w:p w14:paraId="6B92868C" w14:textId="77777777" w:rsidR="00C0549B" w:rsidRDefault="00C0549B" w:rsidP="003B5983">
            <w:pPr>
              <w:rPr>
                <w:rFonts w:cstheme="minorHAnsi"/>
                <w:sz w:val="24"/>
                <w:szCs w:val="24"/>
              </w:rPr>
            </w:pPr>
            <w:r>
              <w:rPr>
                <w:rFonts w:cstheme="minorHAnsi"/>
                <w:sz w:val="24"/>
                <w:szCs w:val="24"/>
              </w:rPr>
              <w:t>January 2025</w:t>
            </w:r>
          </w:p>
        </w:tc>
        <w:tc>
          <w:tcPr>
            <w:tcW w:w="2019" w:type="dxa"/>
            <w:vAlign w:val="center"/>
          </w:tcPr>
          <w:p w14:paraId="6F40A3D0" w14:textId="77777777" w:rsidR="00C0549B" w:rsidRDefault="00C0549B" w:rsidP="003B5983">
            <w:pPr>
              <w:rPr>
                <w:rFonts w:cstheme="minorHAnsi"/>
                <w:sz w:val="24"/>
                <w:szCs w:val="24"/>
              </w:rPr>
            </w:pPr>
            <w:r>
              <w:rPr>
                <w:rFonts w:cstheme="minorHAnsi"/>
                <w:bCs/>
                <w:sz w:val="24"/>
                <w:szCs w:val="24"/>
              </w:rPr>
              <w:t>28</w:t>
            </w:r>
            <w:r w:rsidRPr="00C0549B">
              <w:rPr>
                <w:rFonts w:cstheme="minorHAnsi"/>
                <w:bCs/>
                <w:sz w:val="24"/>
                <w:szCs w:val="24"/>
                <w:vertAlign w:val="superscript"/>
              </w:rPr>
              <w:t>th</w:t>
            </w:r>
            <w:r>
              <w:rPr>
                <w:rFonts w:cstheme="minorHAnsi"/>
                <w:bCs/>
                <w:sz w:val="24"/>
                <w:szCs w:val="24"/>
              </w:rPr>
              <w:t xml:space="preserve"> January’ 2025</w:t>
            </w:r>
          </w:p>
        </w:tc>
        <w:tc>
          <w:tcPr>
            <w:tcW w:w="5106" w:type="dxa"/>
            <w:vAlign w:val="center"/>
          </w:tcPr>
          <w:p w14:paraId="1DD9659D" w14:textId="77777777" w:rsidR="00E042A7" w:rsidRDefault="00E042A7" w:rsidP="00E042A7">
            <w:pPr>
              <w:jc w:val="both"/>
              <w:rPr>
                <w:rFonts w:cstheme="minorHAnsi"/>
                <w:bCs/>
                <w:sz w:val="24"/>
                <w:szCs w:val="24"/>
              </w:rPr>
            </w:pPr>
            <w:r w:rsidRPr="000C27E8">
              <w:rPr>
                <w:rFonts w:cstheme="minorHAnsi"/>
                <w:b/>
                <w:sz w:val="24"/>
                <w:szCs w:val="24"/>
              </w:rPr>
              <w:t>To incorporate</w:t>
            </w:r>
            <w:r>
              <w:rPr>
                <w:rFonts w:cstheme="minorHAnsi"/>
                <w:bCs/>
                <w:sz w:val="24"/>
                <w:szCs w:val="24"/>
              </w:rPr>
              <w:t xml:space="preserve"> Change in the annualized rate of interests. </w:t>
            </w:r>
          </w:p>
          <w:p w14:paraId="381C0609" w14:textId="77777777" w:rsidR="00C0549B" w:rsidRPr="00115819" w:rsidRDefault="00C0549B" w:rsidP="00C0549B">
            <w:pPr>
              <w:jc w:val="both"/>
              <w:rPr>
                <w:rFonts w:cstheme="minorHAnsi"/>
                <w:b/>
              </w:rPr>
            </w:pPr>
          </w:p>
        </w:tc>
      </w:tr>
      <w:tr w:rsidR="00C0549B" w:rsidRPr="00A60CC4" w14:paraId="2967DBF0" w14:textId="77777777" w:rsidTr="00C0549B">
        <w:trPr>
          <w:trHeight w:val="285"/>
        </w:trPr>
        <w:tc>
          <w:tcPr>
            <w:tcW w:w="982" w:type="dxa"/>
            <w:vAlign w:val="center"/>
          </w:tcPr>
          <w:p w14:paraId="43BB9B06" w14:textId="77777777" w:rsidR="00C0549B" w:rsidRDefault="00E042A7" w:rsidP="003B5983">
            <w:pPr>
              <w:rPr>
                <w:rFonts w:eastAsia="Arial" w:cstheme="minorHAnsi"/>
                <w:b/>
                <w:bCs/>
                <w:color w:val="000000"/>
                <w:sz w:val="24"/>
                <w:szCs w:val="24"/>
              </w:rPr>
            </w:pPr>
            <w:r>
              <w:rPr>
                <w:rFonts w:eastAsia="Arial" w:cstheme="minorHAnsi"/>
                <w:b/>
                <w:bCs/>
                <w:color w:val="000000"/>
                <w:sz w:val="24"/>
                <w:szCs w:val="24"/>
              </w:rPr>
              <w:t>5.0</w:t>
            </w:r>
          </w:p>
        </w:tc>
        <w:tc>
          <w:tcPr>
            <w:tcW w:w="1247" w:type="dxa"/>
            <w:vAlign w:val="center"/>
          </w:tcPr>
          <w:p w14:paraId="0F3714F1" w14:textId="77777777" w:rsidR="00C0549B" w:rsidRDefault="00E042A7" w:rsidP="003B5983">
            <w:pPr>
              <w:rPr>
                <w:rFonts w:cstheme="minorHAnsi"/>
                <w:sz w:val="24"/>
                <w:szCs w:val="24"/>
              </w:rPr>
            </w:pPr>
            <w:r>
              <w:rPr>
                <w:rFonts w:cstheme="minorHAnsi"/>
                <w:sz w:val="24"/>
                <w:szCs w:val="24"/>
              </w:rPr>
              <w:t>January 2026</w:t>
            </w:r>
          </w:p>
        </w:tc>
        <w:tc>
          <w:tcPr>
            <w:tcW w:w="2019" w:type="dxa"/>
            <w:vAlign w:val="center"/>
          </w:tcPr>
          <w:p w14:paraId="4F2B1A45" w14:textId="77777777" w:rsidR="00C0549B" w:rsidRDefault="00EF6494" w:rsidP="003B5983">
            <w:pPr>
              <w:rPr>
                <w:rFonts w:cstheme="minorHAnsi"/>
                <w:sz w:val="24"/>
                <w:szCs w:val="24"/>
              </w:rPr>
            </w:pPr>
            <w:r>
              <w:rPr>
                <w:rFonts w:cstheme="minorHAnsi"/>
                <w:sz w:val="24"/>
                <w:szCs w:val="24"/>
              </w:rPr>
              <w:t>28</w:t>
            </w:r>
            <w:r w:rsidRPr="00EF6494">
              <w:rPr>
                <w:rFonts w:cstheme="minorHAnsi"/>
                <w:sz w:val="24"/>
                <w:szCs w:val="24"/>
                <w:vertAlign w:val="superscript"/>
              </w:rPr>
              <w:t>Th</w:t>
            </w:r>
            <w:r>
              <w:rPr>
                <w:rFonts w:cstheme="minorHAnsi"/>
                <w:sz w:val="24"/>
                <w:szCs w:val="24"/>
              </w:rPr>
              <w:t xml:space="preserve"> January’2026</w:t>
            </w:r>
          </w:p>
        </w:tc>
        <w:tc>
          <w:tcPr>
            <w:tcW w:w="5106" w:type="dxa"/>
            <w:vAlign w:val="center"/>
          </w:tcPr>
          <w:p w14:paraId="439BB629" w14:textId="77777777" w:rsidR="00E042A7" w:rsidRDefault="00E042A7" w:rsidP="00E042A7">
            <w:pPr>
              <w:jc w:val="both"/>
              <w:rPr>
                <w:rFonts w:cstheme="minorHAnsi"/>
                <w:bCs/>
                <w:sz w:val="24"/>
                <w:szCs w:val="24"/>
              </w:rPr>
            </w:pPr>
            <w:r w:rsidRPr="000C27E8">
              <w:rPr>
                <w:rFonts w:cstheme="minorHAnsi"/>
                <w:b/>
                <w:sz w:val="24"/>
                <w:szCs w:val="24"/>
              </w:rPr>
              <w:t>To incorporate</w:t>
            </w:r>
          </w:p>
          <w:p w14:paraId="47A82EB7" w14:textId="77777777" w:rsidR="00E042A7" w:rsidRDefault="00E042A7" w:rsidP="00E042A7">
            <w:pPr>
              <w:jc w:val="both"/>
              <w:rPr>
                <w:rFonts w:cstheme="minorHAnsi"/>
                <w:bCs/>
                <w:sz w:val="24"/>
                <w:szCs w:val="24"/>
              </w:rPr>
            </w:pPr>
            <w:r>
              <w:rPr>
                <w:rFonts w:cstheme="minorHAnsi"/>
                <w:bCs/>
                <w:sz w:val="24"/>
                <w:szCs w:val="24"/>
              </w:rPr>
              <w:t xml:space="preserve">Floating rate Loans of SME segment to be linked with </w:t>
            </w:r>
            <w:r w:rsidRPr="0015086A">
              <w:rPr>
                <w:rFonts w:cstheme="minorHAnsi"/>
                <w:sz w:val="24"/>
                <w:szCs w:val="24"/>
              </w:rPr>
              <w:t xml:space="preserve">Mahindra Finance Internal Reference Rate (MFIRR) </w:t>
            </w:r>
            <w:r>
              <w:rPr>
                <w:rFonts w:cstheme="minorHAnsi"/>
                <w:bCs/>
                <w:sz w:val="24"/>
                <w:szCs w:val="24"/>
              </w:rPr>
              <w:t xml:space="preserve"> </w:t>
            </w:r>
          </w:p>
          <w:p w14:paraId="1A150AEF" w14:textId="77777777" w:rsidR="00E042A7" w:rsidRPr="0024660D" w:rsidRDefault="00E042A7" w:rsidP="00E042A7">
            <w:pPr>
              <w:jc w:val="both"/>
              <w:rPr>
                <w:rFonts w:cstheme="minorHAnsi"/>
                <w:bCs/>
                <w:sz w:val="24"/>
                <w:szCs w:val="24"/>
              </w:rPr>
            </w:pPr>
            <w:r>
              <w:rPr>
                <w:rFonts w:cstheme="minorHAnsi"/>
                <w:bCs/>
                <w:sz w:val="24"/>
                <w:szCs w:val="24"/>
              </w:rPr>
              <w:t xml:space="preserve">Inclusion of IRR for </w:t>
            </w:r>
            <w:r w:rsidR="001F37DF">
              <w:rPr>
                <w:rFonts w:cstheme="minorHAnsi"/>
                <w:bCs/>
                <w:sz w:val="24"/>
                <w:szCs w:val="24"/>
              </w:rPr>
              <w:t>Mortgage,</w:t>
            </w:r>
            <w:r>
              <w:rPr>
                <w:rFonts w:cstheme="minorHAnsi"/>
                <w:bCs/>
                <w:sz w:val="24"/>
                <w:szCs w:val="24"/>
              </w:rPr>
              <w:t xml:space="preserve"> Housing Loan and PL to Mortgage customers.</w:t>
            </w:r>
          </w:p>
          <w:p w14:paraId="34512E3E" w14:textId="77777777" w:rsidR="00C0549B" w:rsidRPr="00115819" w:rsidRDefault="00C0549B" w:rsidP="00C0549B">
            <w:pPr>
              <w:jc w:val="both"/>
              <w:rPr>
                <w:rFonts w:cstheme="minorHAnsi"/>
                <w:b/>
              </w:rPr>
            </w:pPr>
          </w:p>
        </w:tc>
      </w:tr>
      <w:tr w:rsidR="00E7112F" w:rsidRPr="00A60CC4" w14:paraId="1EDD99F4" w14:textId="77777777" w:rsidTr="00C0549B">
        <w:trPr>
          <w:trHeight w:val="285"/>
        </w:trPr>
        <w:tc>
          <w:tcPr>
            <w:tcW w:w="982" w:type="dxa"/>
            <w:vAlign w:val="center"/>
          </w:tcPr>
          <w:p w14:paraId="67D5EB2B" w14:textId="18A400E7" w:rsidR="00E7112F" w:rsidRDefault="00E7112F" w:rsidP="003B5983">
            <w:pPr>
              <w:rPr>
                <w:rFonts w:eastAsia="Arial" w:cstheme="minorHAnsi"/>
                <w:b/>
                <w:bCs/>
                <w:color w:val="000000"/>
                <w:sz w:val="24"/>
                <w:szCs w:val="24"/>
              </w:rPr>
            </w:pPr>
            <w:r>
              <w:rPr>
                <w:rFonts w:eastAsia="Arial" w:cstheme="minorHAnsi"/>
                <w:b/>
                <w:bCs/>
                <w:color w:val="000000"/>
                <w:sz w:val="24"/>
                <w:szCs w:val="24"/>
              </w:rPr>
              <w:t>6.0</w:t>
            </w:r>
          </w:p>
        </w:tc>
        <w:tc>
          <w:tcPr>
            <w:tcW w:w="1247" w:type="dxa"/>
            <w:vAlign w:val="center"/>
          </w:tcPr>
          <w:p w14:paraId="14ABD1A7" w14:textId="28419DCB" w:rsidR="00E7112F" w:rsidRDefault="00E7112F" w:rsidP="003B5983">
            <w:pPr>
              <w:rPr>
                <w:rFonts w:cstheme="minorHAnsi"/>
                <w:sz w:val="24"/>
                <w:szCs w:val="24"/>
              </w:rPr>
            </w:pPr>
            <w:r>
              <w:rPr>
                <w:rFonts w:cstheme="minorHAnsi"/>
                <w:sz w:val="24"/>
                <w:szCs w:val="24"/>
              </w:rPr>
              <w:t>April  2026</w:t>
            </w:r>
          </w:p>
        </w:tc>
        <w:tc>
          <w:tcPr>
            <w:tcW w:w="2019" w:type="dxa"/>
            <w:vAlign w:val="center"/>
          </w:tcPr>
          <w:p w14:paraId="1E969EE7" w14:textId="626098ED" w:rsidR="00E7112F" w:rsidRDefault="00E7112F" w:rsidP="003B5983">
            <w:pPr>
              <w:rPr>
                <w:rFonts w:cstheme="minorHAnsi"/>
                <w:sz w:val="24"/>
                <w:szCs w:val="24"/>
              </w:rPr>
            </w:pPr>
            <w:r>
              <w:rPr>
                <w:rFonts w:cstheme="minorHAnsi"/>
                <w:sz w:val="24"/>
                <w:szCs w:val="24"/>
              </w:rPr>
              <w:t>24</w:t>
            </w:r>
            <w:r w:rsidRPr="00621C52">
              <w:rPr>
                <w:rFonts w:cstheme="minorHAnsi"/>
                <w:sz w:val="24"/>
                <w:szCs w:val="24"/>
                <w:vertAlign w:val="superscript"/>
              </w:rPr>
              <w:t>th</w:t>
            </w:r>
            <w:r>
              <w:rPr>
                <w:rFonts w:cstheme="minorHAnsi"/>
                <w:sz w:val="24"/>
                <w:szCs w:val="24"/>
              </w:rPr>
              <w:t xml:space="preserve"> April’2026</w:t>
            </w:r>
          </w:p>
        </w:tc>
        <w:tc>
          <w:tcPr>
            <w:tcW w:w="5106" w:type="dxa"/>
            <w:vAlign w:val="center"/>
          </w:tcPr>
          <w:p w14:paraId="0BE13C1E" w14:textId="77777777" w:rsidR="00FB65A0" w:rsidRDefault="00FB65A0" w:rsidP="00FB65A0">
            <w:pPr>
              <w:jc w:val="both"/>
              <w:rPr>
                <w:rFonts w:cstheme="minorHAnsi"/>
                <w:bCs/>
                <w:sz w:val="24"/>
                <w:szCs w:val="24"/>
              </w:rPr>
            </w:pPr>
            <w:r w:rsidRPr="000C27E8">
              <w:rPr>
                <w:rFonts w:cstheme="minorHAnsi"/>
                <w:b/>
                <w:sz w:val="24"/>
                <w:szCs w:val="24"/>
              </w:rPr>
              <w:t>To incorporate</w:t>
            </w:r>
          </w:p>
          <w:p w14:paraId="135AD658" w14:textId="03221230" w:rsidR="00E7112F" w:rsidRPr="00211DB4" w:rsidRDefault="008D66F5" w:rsidP="00E042A7">
            <w:pPr>
              <w:jc w:val="both"/>
              <w:rPr>
                <w:rFonts w:cstheme="minorHAnsi"/>
                <w:bCs/>
                <w:sz w:val="24"/>
                <w:szCs w:val="24"/>
              </w:rPr>
            </w:pPr>
            <w:r w:rsidRPr="00211DB4">
              <w:rPr>
                <w:rFonts w:cstheme="minorHAnsi"/>
                <w:bCs/>
                <w:sz w:val="24"/>
                <w:szCs w:val="24"/>
              </w:rPr>
              <w:t xml:space="preserve">Approval </w:t>
            </w:r>
            <w:r w:rsidR="008E6831" w:rsidRPr="00211DB4">
              <w:rPr>
                <w:rFonts w:cstheme="minorHAnsi"/>
                <w:bCs/>
                <w:sz w:val="24"/>
                <w:szCs w:val="24"/>
              </w:rPr>
              <w:t xml:space="preserve">introduced in limited cases where IRR </w:t>
            </w:r>
            <w:r w:rsidR="000316AF" w:rsidRPr="00211DB4">
              <w:rPr>
                <w:rFonts w:cstheme="minorHAnsi"/>
                <w:bCs/>
                <w:sz w:val="24"/>
                <w:szCs w:val="24"/>
              </w:rPr>
              <w:t xml:space="preserve">is below the </w:t>
            </w:r>
            <w:r w:rsidR="00C03F7A" w:rsidRPr="00211DB4">
              <w:rPr>
                <w:rFonts w:cstheme="minorHAnsi"/>
                <w:bCs/>
                <w:sz w:val="24"/>
                <w:szCs w:val="24"/>
              </w:rPr>
              <w:t xml:space="preserve">given </w:t>
            </w:r>
            <w:r w:rsidR="000316AF" w:rsidRPr="00211DB4">
              <w:rPr>
                <w:rFonts w:cstheme="minorHAnsi"/>
                <w:bCs/>
                <w:sz w:val="24"/>
                <w:szCs w:val="24"/>
              </w:rPr>
              <w:t>range</w:t>
            </w:r>
            <w:r w:rsidR="00E52EFD">
              <w:rPr>
                <w:rFonts w:cstheme="minorHAnsi"/>
                <w:bCs/>
                <w:sz w:val="24"/>
                <w:szCs w:val="24"/>
              </w:rPr>
              <w:t xml:space="preserve"> under Wheels business.</w:t>
            </w:r>
          </w:p>
        </w:tc>
      </w:tr>
    </w:tbl>
    <w:p w14:paraId="106D50BF" w14:textId="77777777" w:rsidR="00C0549B" w:rsidRDefault="00C0549B" w:rsidP="00ED59CC">
      <w:pPr>
        <w:jc w:val="center"/>
        <w:rPr>
          <w:rFonts w:cstheme="minorHAnsi"/>
          <w:b/>
          <w:bCs/>
          <w:sz w:val="28"/>
          <w:szCs w:val="28"/>
        </w:rPr>
      </w:pPr>
      <w:r w:rsidRPr="00270AD1">
        <w:rPr>
          <w:b/>
          <w:bCs/>
          <w:sz w:val="24"/>
          <w:szCs w:val="24"/>
          <w:u w:val="single"/>
        </w:rPr>
        <w:br w:type="column"/>
      </w:r>
    </w:p>
    <w:p w14:paraId="4CBF5899" w14:textId="77777777" w:rsidR="00ED59CC" w:rsidRPr="00270AD1" w:rsidRDefault="00ED59CC" w:rsidP="00ED59CC">
      <w:pPr>
        <w:jc w:val="center"/>
        <w:rPr>
          <w:rFonts w:cstheme="minorHAnsi"/>
          <w:b/>
          <w:bCs/>
          <w:sz w:val="24"/>
          <w:szCs w:val="24"/>
        </w:rPr>
      </w:pPr>
      <w:r w:rsidRPr="001A4108">
        <w:rPr>
          <w:rFonts w:cstheme="minorHAnsi"/>
          <w:b/>
          <w:bCs/>
          <w:sz w:val="28"/>
          <w:szCs w:val="28"/>
        </w:rPr>
        <w:t>INDEX</w:t>
      </w:r>
    </w:p>
    <w:p w14:paraId="63B6BBAC" w14:textId="77777777" w:rsidR="00B07A5B" w:rsidRDefault="00B07A5B" w:rsidP="00606F28">
      <w:pPr>
        <w:jc w:val="center"/>
        <w:rPr>
          <w:b/>
          <w:bCs/>
          <w:sz w:val="24"/>
          <w:szCs w:val="24"/>
          <w:u w:val="single"/>
        </w:rPr>
      </w:pPr>
    </w:p>
    <w:p w14:paraId="744AAA5F" w14:textId="77777777" w:rsidR="00091423" w:rsidRDefault="00091423" w:rsidP="00091423">
      <w:pPr>
        <w:pStyle w:val="ListParagraph"/>
        <w:numPr>
          <w:ilvl w:val="0"/>
          <w:numId w:val="22"/>
        </w:numPr>
        <w:jc w:val="both"/>
        <w:rPr>
          <w:rFonts w:cstheme="minorHAnsi"/>
          <w:sz w:val="24"/>
          <w:szCs w:val="24"/>
        </w:rPr>
      </w:pPr>
      <w:r>
        <w:rPr>
          <w:rFonts w:cstheme="minorHAnsi"/>
          <w:sz w:val="24"/>
          <w:szCs w:val="24"/>
        </w:rPr>
        <w:t>PREAMBLE</w:t>
      </w:r>
    </w:p>
    <w:p w14:paraId="6F76E623" w14:textId="77777777" w:rsidR="00091423" w:rsidRDefault="00091423" w:rsidP="00091423">
      <w:pPr>
        <w:pStyle w:val="ListParagraph"/>
        <w:numPr>
          <w:ilvl w:val="0"/>
          <w:numId w:val="22"/>
        </w:numPr>
        <w:jc w:val="both"/>
        <w:rPr>
          <w:rFonts w:cstheme="minorHAnsi"/>
          <w:sz w:val="24"/>
          <w:szCs w:val="24"/>
        </w:rPr>
      </w:pPr>
      <w:r>
        <w:rPr>
          <w:rFonts w:cstheme="minorHAnsi"/>
          <w:sz w:val="24"/>
          <w:szCs w:val="24"/>
        </w:rPr>
        <w:t>OBJECTIVE</w:t>
      </w:r>
    </w:p>
    <w:p w14:paraId="3F67AEA6" w14:textId="77777777" w:rsidR="00091423" w:rsidRDefault="00091423" w:rsidP="00091423">
      <w:pPr>
        <w:pStyle w:val="ListParagraph"/>
        <w:numPr>
          <w:ilvl w:val="0"/>
          <w:numId w:val="22"/>
        </w:numPr>
        <w:jc w:val="both"/>
        <w:rPr>
          <w:rFonts w:cstheme="minorHAnsi"/>
          <w:sz w:val="24"/>
          <w:szCs w:val="24"/>
        </w:rPr>
      </w:pPr>
      <w:r>
        <w:rPr>
          <w:rFonts w:cstheme="minorHAnsi"/>
          <w:sz w:val="24"/>
          <w:szCs w:val="24"/>
        </w:rPr>
        <w:t>GOVERNANCE STRCUTURE</w:t>
      </w:r>
    </w:p>
    <w:p w14:paraId="07A3D95F" w14:textId="77777777" w:rsidR="00091423" w:rsidRDefault="00091423" w:rsidP="00091423">
      <w:pPr>
        <w:pStyle w:val="ListParagraph"/>
        <w:numPr>
          <w:ilvl w:val="0"/>
          <w:numId w:val="22"/>
        </w:numPr>
        <w:jc w:val="both"/>
        <w:rPr>
          <w:rFonts w:cstheme="minorHAnsi"/>
          <w:sz w:val="24"/>
          <w:szCs w:val="24"/>
        </w:rPr>
      </w:pPr>
      <w:r>
        <w:rPr>
          <w:rFonts w:cstheme="minorHAnsi"/>
          <w:sz w:val="24"/>
          <w:szCs w:val="24"/>
        </w:rPr>
        <w:t xml:space="preserve">INTEREST RATE MODEL </w:t>
      </w:r>
    </w:p>
    <w:p w14:paraId="33D6B46E" w14:textId="77777777" w:rsidR="00091423" w:rsidRPr="00374904" w:rsidRDefault="00091423" w:rsidP="00091423">
      <w:pPr>
        <w:pStyle w:val="ListParagraph"/>
        <w:numPr>
          <w:ilvl w:val="0"/>
          <w:numId w:val="22"/>
        </w:numPr>
        <w:jc w:val="both"/>
        <w:rPr>
          <w:rFonts w:cstheme="minorHAnsi"/>
          <w:sz w:val="24"/>
          <w:szCs w:val="24"/>
        </w:rPr>
      </w:pPr>
      <w:r w:rsidRPr="00374904">
        <w:rPr>
          <w:rFonts w:cstheme="minorHAnsi"/>
          <w:sz w:val="24"/>
          <w:szCs w:val="24"/>
        </w:rPr>
        <w:t xml:space="preserve">CREDIT RISK PREMIUM &amp; GRADATION OF RISK </w:t>
      </w:r>
    </w:p>
    <w:p w14:paraId="4ED4AC2A" w14:textId="77777777" w:rsidR="00091423" w:rsidRDefault="00091423" w:rsidP="00091423">
      <w:pPr>
        <w:pStyle w:val="ListParagraph"/>
        <w:numPr>
          <w:ilvl w:val="0"/>
          <w:numId w:val="22"/>
        </w:numPr>
        <w:jc w:val="both"/>
        <w:rPr>
          <w:rFonts w:cstheme="minorHAnsi"/>
          <w:sz w:val="24"/>
          <w:szCs w:val="24"/>
        </w:rPr>
      </w:pPr>
      <w:r>
        <w:rPr>
          <w:rFonts w:cstheme="minorHAnsi"/>
          <w:sz w:val="24"/>
          <w:szCs w:val="24"/>
        </w:rPr>
        <w:t>OTHER CHARGES</w:t>
      </w:r>
    </w:p>
    <w:p w14:paraId="4FDD96AE" w14:textId="77777777" w:rsidR="007516ED" w:rsidRDefault="00091423" w:rsidP="007516ED">
      <w:pPr>
        <w:pStyle w:val="ListParagraph"/>
        <w:numPr>
          <w:ilvl w:val="0"/>
          <w:numId w:val="22"/>
        </w:numPr>
        <w:jc w:val="both"/>
        <w:rPr>
          <w:rFonts w:cstheme="minorHAnsi"/>
          <w:sz w:val="24"/>
          <w:szCs w:val="24"/>
        </w:rPr>
      </w:pPr>
      <w:r>
        <w:rPr>
          <w:rFonts w:cstheme="minorHAnsi"/>
          <w:sz w:val="24"/>
          <w:szCs w:val="24"/>
        </w:rPr>
        <w:t>COMMUNICATION FRAMEWORK</w:t>
      </w:r>
    </w:p>
    <w:p w14:paraId="02EA7FBC" w14:textId="77777777" w:rsidR="0006541A" w:rsidRDefault="0006541A">
      <w:pPr>
        <w:rPr>
          <w:rFonts w:cstheme="minorHAnsi"/>
          <w:b/>
          <w:bCs/>
          <w:sz w:val="24"/>
          <w:szCs w:val="24"/>
        </w:rPr>
      </w:pPr>
      <w:r>
        <w:rPr>
          <w:rFonts w:cstheme="minorHAnsi"/>
          <w:b/>
          <w:bCs/>
          <w:sz w:val="24"/>
          <w:szCs w:val="24"/>
        </w:rPr>
        <w:br w:type="page"/>
      </w:r>
    </w:p>
    <w:p w14:paraId="7932FFB3" w14:textId="77777777" w:rsidR="00F51860" w:rsidRDefault="00F51860" w:rsidP="00F51860">
      <w:pPr>
        <w:pStyle w:val="ListParagraph"/>
        <w:ind w:left="567"/>
        <w:jc w:val="center"/>
        <w:rPr>
          <w:b/>
          <w:bCs/>
          <w:sz w:val="30"/>
          <w:szCs w:val="30"/>
        </w:rPr>
      </w:pPr>
    </w:p>
    <w:p w14:paraId="34885CE8" w14:textId="77777777" w:rsidR="001A4108" w:rsidRDefault="001A4108" w:rsidP="00F51860">
      <w:pPr>
        <w:pStyle w:val="ListParagraph"/>
        <w:ind w:left="567"/>
        <w:jc w:val="center"/>
        <w:rPr>
          <w:rFonts w:cstheme="minorHAnsi"/>
          <w:b/>
          <w:bCs/>
          <w:sz w:val="24"/>
          <w:szCs w:val="24"/>
        </w:rPr>
      </w:pPr>
    </w:p>
    <w:p w14:paraId="6E6109D1" w14:textId="77777777" w:rsidR="00ED59CC" w:rsidRPr="00270AD1" w:rsidRDefault="00ED59CC" w:rsidP="00C74B9A">
      <w:pPr>
        <w:pStyle w:val="ListParagraph"/>
        <w:numPr>
          <w:ilvl w:val="0"/>
          <w:numId w:val="8"/>
        </w:numPr>
        <w:ind w:left="567" w:hanging="567"/>
        <w:jc w:val="both"/>
        <w:rPr>
          <w:rFonts w:cstheme="minorHAnsi"/>
          <w:b/>
          <w:bCs/>
          <w:sz w:val="24"/>
          <w:szCs w:val="24"/>
        </w:rPr>
      </w:pPr>
      <w:r w:rsidRPr="00270AD1">
        <w:rPr>
          <w:rFonts w:cstheme="minorHAnsi"/>
          <w:b/>
          <w:bCs/>
          <w:sz w:val="24"/>
          <w:szCs w:val="24"/>
        </w:rPr>
        <w:t>PREAMBLE</w:t>
      </w:r>
    </w:p>
    <w:p w14:paraId="1BC29974" w14:textId="4F59CE26" w:rsidR="004A0FAD" w:rsidRPr="00374904" w:rsidRDefault="00C90F6F" w:rsidP="00917D83">
      <w:pPr>
        <w:spacing w:after="0" w:line="240" w:lineRule="auto"/>
        <w:contextualSpacing/>
        <w:jc w:val="both"/>
        <w:rPr>
          <w:rFonts w:eastAsia="Times New Roman" w:cstheme="minorHAnsi"/>
          <w:lang w:eastAsia="en-IN"/>
        </w:rPr>
      </w:pPr>
      <w:r w:rsidRPr="00C90F6F">
        <w:rPr>
          <w:sz w:val="24"/>
          <w:szCs w:val="24"/>
        </w:rPr>
        <w:t>As per the</w:t>
      </w:r>
      <w:r w:rsidR="00B5202E">
        <w:rPr>
          <w:sz w:val="24"/>
          <w:szCs w:val="24"/>
        </w:rPr>
        <w:t xml:space="preserve"> </w:t>
      </w:r>
      <w:r w:rsidR="00917D83" w:rsidRPr="00917D83">
        <w:rPr>
          <w:b/>
          <w:bCs/>
          <w:sz w:val="24"/>
          <w:szCs w:val="24"/>
          <w:lang w:val="en-IN"/>
        </w:rPr>
        <w:t>Reserve Bank of India (Non-Banking Financial Companies – Responsible Business Conduct) Directions, 2025</w:t>
      </w:r>
      <w:r w:rsidR="00B72140" w:rsidRPr="00270AD1">
        <w:rPr>
          <w:sz w:val="24"/>
          <w:szCs w:val="24"/>
        </w:rPr>
        <w:t xml:space="preserve">, the Board of each </w:t>
      </w:r>
      <w:r w:rsidR="00340D9C" w:rsidRPr="00270AD1">
        <w:rPr>
          <w:rFonts w:eastAsia="Times New Roman" w:cstheme="minorHAnsi"/>
          <w:sz w:val="24"/>
          <w:szCs w:val="24"/>
          <w:lang w:val="en-IN" w:eastAsia="en-IN"/>
        </w:rPr>
        <w:t>Non-Banking Financial Company (“</w:t>
      </w:r>
      <w:r w:rsidR="00340D9C" w:rsidRPr="00270AD1">
        <w:rPr>
          <w:rFonts w:eastAsia="Times New Roman" w:cstheme="minorHAnsi"/>
          <w:b/>
          <w:bCs/>
          <w:sz w:val="24"/>
          <w:szCs w:val="24"/>
          <w:lang w:val="en-IN" w:eastAsia="en-IN"/>
        </w:rPr>
        <w:t>NBFC</w:t>
      </w:r>
      <w:r w:rsidR="00340D9C" w:rsidRPr="00270AD1">
        <w:rPr>
          <w:rFonts w:eastAsia="Times New Roman" w:cstheme="minorHAnsi"/>
          <w:sz w:val="24"/>
          <w:szCs w:val="24"/>
          <w:lang w:val="en-IN" w:eastAsia="en-IN"/>
        </w:rPr>
        <w:t xml:space="preserve">”) </w:t>
      </w:r>
      <w:r w:rsidR="00B72140" w:rsidRPr="00270AD1">
        <w:rPr>
          <w:sz w:val="24"/>
          <w:szCs w:val="24"/>
        </w:rPr>
        <w:t>shall a</w:t>
      </w:r>
      <w:r w:rsidR="008920D2">
        <w:rPr>
          <w:sz w:val="24"/>
          <w:szCs w:val="24"/>
        </w:rPr>
        <w:t xml:space="preserve">dopt </w:t>
      </w:r>
      <w:r w:rsidR="00B72140" w:rsidRPr="00270AD1">
        <w:rPr>
          <w:sz w:val="24"/>
          <w:szCs w:val="24"/>
        </w:rPr>
        <w:t xml:space="preserve">an Interest rate model that is applicable for the Company, taking into account relevant factors such as cost of funds, margin and risk premium, and determine the rate of interest to be charged for loans and advances. </w:t>
      </w:r>
      <w:bookmarkStart w:id="2" w:name="_Hlk117006509"/>
      <w:r w:rsidR="00340D9C" w:rsidRPr="00270AD1">
        <w:rPr>
          <w:rFonts w:eastAsia="Times New Roman" w:cstheme="minorHAnsi"/>
          <w:sz w:val="24"/>
          <w:szCs w:val="24"/>
          <w:lang w:val="en-IN" w:eastAsia="en-IN"/>
        </w:rPr>
        <w:t xml:space="preserve">Further, the </w:t>
      </w:r>
      <w:r w:rsidR="00BE309E" w:rsidRPr="00270AD1">
        <w:rPr>
          <w:rFonts w:eastAsia="Times New Roman" w:cstheme="minorHAnsi"/>
          <w:sz w:val="24"/>
          <w:szCs w:val="24"/>
          <w:lang w:val="en-IN" w:eastAsia="en-IN"/>
        </w:rPr>
        <w:t>directi</w:t>
      </w:r>
      <w:r w:rsidR="00BE309E">
        <w:rPr>
          <w:rFonts w:eastAsia="Times New Roman" w:cstheme="minorHAnsi"/>
          <w:sz w:val="24"/>
          <w:szCs w:val="24"/>
          <w:lang w:val="en-IN" w:eastAsia="en-IN"/>
        </w:rPr>
        <w:t>ons</w:t>
      </w:r>
      <w:r w:rsidR="00BE309E" w:rsidRPr="00270AD1">
        <w:rPr>
          <w:rFonts w:eastAsia="Times New Roman" w:cstheme="minorHAnsi"/>
          <w:sz w:val="24"/>
          <w:szCs w:val="24"/>
          <w:lang w:val="en-IN" w:eastAsia="en-IN"/>
        </w:rPr>
        <w:t xml:space="preserve"> </w:t>
      </w:r>
      <w:r w:rsidR="00340D9C" w:rsidRPr="00270AD1">
        <w:rPr>
          <w:rFonts w:eastAsia="Times New Roman" w:cstheme="minorHAnsi"/>
          <w:sz w:val="24"/>
          <w:szCs w:val="24"/>
          <w:lang w:val="en-IN" w:eastAsia="en-IN"/>
        </w:rPr>
        <w:t xml:space="preserve">state that the rate of interest and the approach for gradation of risk and the rationale for charging different rates of interest for different category of borrowers should be communicated to the borrowers / customers in the sanction letters to them. </w:t>
      </w:r>
      <w:r w:rsidR="004A0FAD" w:rsidRPr="00374904">
        <w:rPr>
          <w:sz w:val="24"/>
          <w:szCs w:val="24"/>
        </w:rPr>
        <w:t xml:space="preserve">The rates of interest and the approach for gradation of risks shall also be made available on the website of the </w:t>
      </w:r>
      <w:r w:rsidR="00181017" w:rsidRPr="00374904">
        <w:rPr>
          <w:sz w:val="24"/>
          <w:szCs w:val="24"/>
        </w:rPr>
        <w:t>compan</w:t>
      </w:r>
      <w:r w:rsidR="00181017">
        <w:rPr>
          <w:sz w:val="24"/>
          <w:szCs w:val="24"/>
        </w:rPr>
        <w:t>y</w:t>
      </w:r>
      <w:r w:rsidR="00181017" w:rsidRPr="00374904">
        <w:rPr>
          <w:sz w:val="24"/>
          <w:szCs w:val="24"/>
        </w:rPr>
        <w:t xml:space="preserve"> </w:t>
      </w:r>
    </w:p>
    <w:bookmarkEnd w:id="2"/>
    <w:p w14:paraId="1385BACE" w14:textId="77777777" w:rsidR="003E58C4" w:rsidRDefault="00B72140" w:rsidP="00ED59CC">
      <w:pPr>
        <w:jc w:val="both"/>
        <w:rPr>
          <w:sz w:val="24"/>
          <w:szCs w:val="24"/>
        </w:rPr>
      </w:pPr>
      <w:r w:rsidRPr="00270AD1">
        <w:rPr>
          <w:sz w:val="24"/>
          <w:szCs w:val="24"/>
        </w:rPr>
        <w:t xml:space="preserve">Keeping in view the RBI Guidelines as cited above, the following internal guiding principles and interest rate model </w:t>
      </w:r>
      <w:r w:rsidR="00270AD1" w:rsidRPr="00270AD1">
        <w:rPr>
          <w:sz w:val="24"/>
          <w:szCs w:val="24"/>
        </w:rPr>
        <w:t>(“</w:t>
      </w:r>
      <w:r w:rsidR="00270AD1" w:rsidRPr="00270AD1">
        <w:rPr>
          <w:b/>
          <w:bCs/>
          <w:sz w:val="24"/>
          <w:szCs w:val="24"/>
        </w:rPr>
        <w:t>Policy</w:t>
      </w:r>
      <w:r w:rsidR="00270AD1" w:rsidRPr="00270AD1">
        <w:rPr>
          <w:sz w:val="24"/>
          <w:szCs w:val="24"/>
        </w:rPr>
        <w:t xml:space="preserve">”) </w:t>
      </w:r>
      <w:r w:rsidR="00916EB4">
        <w:rPr>
          <w:sz w:val="24"/>
          <w:szCs w:val="24"/>
        </w:rPr>
        <w:t xml:space="preserve">is placed </w:t>
      </w:r>
      <w:r w:rsidR="000057E9">
        <w:rPr>
          <w:sz w:val="24"/>
          <w:szCs w:val="24"/>
        </w:rPr>
        <w:t xml:space="preserve">before </w:t>
      </w:r>
      <w:r w:rsidR="000057E9" w:rsidRPr="00270AD1">
        <w:rPr>
          <w:sz w:val="24"/>
          <w:szCs w:val="24"/>
        </w:rPr>
        <w:t>Board</w:t>
      </w:r>
      <w:r w:rsidRPr="00270AD1">
        <w:rPr>
          <w:sz w:val="24"/>
          <w:szCs w:val="24"/>
        </w:rPr>
        <w:t xml:space="preserve"> of Directors of </w:t>
      </w:r>
      <w:r w:rsidR="00340D9C" w:rsidRPr="00270AD1">
        <w:rPr>
          <w:rFonts w:eastAsia="Times New Roman" w:cstheme="minorHAnsi"/>
          <w:sz w:val="24"/>
          <w:szCs w:val="24"/>
          <w:lang w:eastAsia="en-IN"/>
        </w:rPr>
        <w:t>Mahindra &amp; Mahindra Financial Services Ltd (“</w:t>
      </w:r>
      <w:r w:rsidR="00340D9C" w:rsidRPr="00270AD1">
        <w:rPr>
          <w:rFonts w:eastAsia="Times New Roman" w:cstheme="minorHAnsi"/>
          <w:b/>
          <w:bCs/>
          <w:sz w:val="24"/>
          <w:szCs w:val="24"/>
          <w:lang w:eastAsia="en-IN"/>
        </w:rPr>
        <w:t>MMFSL</w:t>
      </w:r>
      <w:r w:rsidR="00340D9C" w:rsidRPr="00270AD1">
        <w:rPr>
          <w:rFonts w:eastAsia="Times New Roman" w:cstheme="minorHAnsi"/>
          <w:sz w:val="24"/>
          <w:szCs w:val="24"/>
          <w:lang w:eastAsia="en-IN"/>
        </w:rPr>
        <w:t>” or “</w:t>
      </w:r>
      <w:r w:rsidR="00340D9C" w:rsidRPr="00270AD1">
        <w:rPr>
          <w:rFonts w:eastAsia="Times New Roman" w:cstheme="minorHAnsi"/>
          <w:b/>
          <w:bCs/>
          <w:sz w:val="24"/>
          <w:szCs w:val="24"/>
          <w:lang w:eastAsia="en-IN"/>
        </w:rPr>
        <w:t>the company</w:t>
      </w:r>
      <w:r w:rsidR="00340D9C" w:rsidRPr="00270AD1">
        <w:rPr>
          <w:rFonts w:eastAsia="Times New Roman" w:cstheme="minorHAnsi"/>
          <w:sz w:val="24"/>
          <w:szCs w:val="24"/>
          <w:lang w:eastAsia="en-IN"/>
        </w:rPr>
        <w:t>”)</w:t>
      </w:r>
      <w:r w:rsidR="00270AD1" w:rsidRPr="00270AD1">
        <w:rPr>
          <w:rFonts w:eastAsia="Times New Roman" w:cstheme="minorHAnsi"/>
          <w:sz w:val="24"/>
          <w:szCs w:val="24"/>
          <w:lang w:eastAsia="en-IN"/>
        </w:rPr>
        <w:t xml:space="preserve"> </w:t>
      </w:r>
      <w:r w:rsidR="00D93AEA">
        <w:rPr>
          <w:rFonts w:eastAsia="Times New Roman" w:cstheme="minorHAnsi"/>
          <w:sz w:val="24"/>
          <w:szCs w:val="24"/>
          <w:lang w:eastAsia="en-IN"/>
        </w:rPr>
        <w:t>for approval</w:t>
      </w:r>
      <w:r w:rsidR="00374904">
        <w:rPr>
          <w:rFonts w:eastAsia="Times New Roman" w:cstheme="minorHAnsi"/>
          <w:sz w:val="24"/>
          <w:szCs w:val="24"/>
          <w:lang w:eastAsia="en-IN"/>
        </w:rPr>
        <w:t xml:space="preserve">. </w:t>
      </w:r>
      <w:r w:rsidRPr="00270AD1">
        <w:rPr>
          <w:sz w:val="24"/>
          <w:szCs w:val="24"/>
        </w:rPr>
        <w:t xml:space="preserve">This </w:t>
      </w:r>
      <w:r w:rsidR="00270AD1" w:rsidRPr="00270AD1">
        <w:rPr>
          <w:sz w:val="24"/>
          <w:szCs w:val="24"/>
        </w:rPr>
        <w:t>P</w:t>
      </w:r>
      <w:r w:rsidRPr="00270AD1">
        <w:rPr>
          <w:sz w:val="24"/>
          <w:szCs w:val="24"/>
        </w:rPr>
        <w:t>olicy should always be read in conjunction with RBI guidelines, directives, circulars, and instructions.</w:t>
      </w:r>
      <w:r w:rsidR="00270AD1" w:rsidRPr="00270AD1">
        <w:rPr>
          <w:sz w:val="24"/>
          <w:szCs w:val="24"/>
        </w:rPr>
        <w:t xml:space="preserve"> </w:t>
      </w:r>
    </w:p>
    <w:p w14:paraId="0C5C2524" w14:textId="77777777" w:rsidR="001A444F" w:rsidRPr="0006541A" w:rsidRDefault="001A444F" w:rsidP="00ED59CC">
      <w:pPr>
        <w:jc w:val="both"/>
        <w:rPr>
          <w:sz w:val="24"/>
          <w:szCs w:val="24"/>
        </w:rPr>
      </w:pPr>
    </w:p>
    <w:p w14:paraId="46098150" w14:textId="77777777" w:rsidR="00606F28" w:rsidRPr="00015C5F" w:rsidRDefault="00270AD1" w:rsidP="00270AD1">
      <w:pPr>
        <w:pStyle w:val="ListParagraph"/>
        <w:numPr>
          <w:ilvl w:val="0"/>
          <w:numId w:val="8"/>
        </w:numPr>
        <w:ind w:left="567" w:hanging="567"/>
        <w:jc w:val="both"/>
        <w:rPr>
          <w:rFonts w:cstheme="minorHAnsi"/>
          <w:b/>
          <w:bCs/>
          <w:sz w:val="24"/>
          <w:szCs w:val="24"/>
        </w:rPr>
      </w:pPr>
      <w:r w:rsidRPr="00015C5F">
        <w:rPr>
          <w:rFonts w:cstheme="minorHAnsi"/>
          <w:b/>
          <w:bCs/>
          <w:sz w:val="24"/>
          <w:szCs w:val="24"/>
        </w:rPr>
        <w:t>OBJECTIVE</w:t>
      </w:r>
    </w:p>
    <w:p w14:paraId="75B2AC7B" w14:textId="77777777" w:rsidR="00270AD1" w:rsidRPr="00270AD1" w:rsidRDefault="00270AD1" w:rsidP="00270AD1">
      <w:pPr>
        <w:jc w:val="both"/>
        <w:rPr>
          <w:sz w:val="24"/>
          <w:szCs w:val="24"/>
        </w:rPr>
      </w:pPr>
      <w:r w:rsidRPr="00015C5F">
        <w:rPr>
          <w:sz w:val="24"/>
          <w:szCs w:val="24"/>
        </w:rPr>
        <w:t xml:space="preserve">The objective of this Policy is to </w:t>
      </w:r>
      <w:r w:rsidRPr="00015C5F">
        <w:rPr>
          <w:rFonts w:eastAsia="Times New Roman" w:cstheme="minorHAnsi"/>
          <w:sz w:val="24"/>
          <w:szCs w:val="24"/>
          <w:lang w:eastAsia="en-IN"/>
        </w:rPr>
        <w:t>provide a framework</w:t>
      </w:r>
      <w:r w:rsidRPr="00270AD1">
        <w:rPr>
          <w:rFonts w:eastAsia="Times New Roman" w:cstheme="minorHAnsi"/>
          <w:sz w:val="24"/>
          <w:szCs w:val="24"/>
          <w:lang w:eastAsia="en-IN"/>
        </w:rPr>
        <w:t xml:space="preserve">, which will enable the Company to outline the guiding principles to </w:t>
      </w:r>
      <w:r w:rsidRPr="00270AD1">
        <w:rPr>
          <w:sz w:val="24"/>
          <w:szCs w:val="24"/>
        </w:rPr>
        <w:t xml:space="preserve">arrive at the </w:t>
      </w:r>
      <w:r w:rsidR="004F5ED4">
        <w:rPr>
          <w:sz w:val="24"/>
          <w:szCs w:val="24"/>
        </w:rPr>
        <w:t xml:space="preserve">interest </w:t>
      </w:r>
      <w:r w:rsidRPr="00270AD1">
        <w:rPr>
          <w:sz w:val="24"/>
          <w:szCs w:val="24"/>
        </w:rPr>
        <w:t>rates to be used for different types of customer / product segments</w:t>
      </w:r>
      <w:r w:rsidR="00FF3FC0">
        <w:rPr>
          <w:sz w:val="24"/>
          <w:szCs w:val="24"/>
        </w:rPr>
        <w:t xml:space="preserve"> </w:t>
      </w:r>
      <w:r w:rsidR="004F5ED4">
        <w:rPr>
          <w:sz w:val="24"/>
          <w:szCs w:val="24"/>
        </w:rPr>
        <w:t xml:space="preserve">/ geographies </w:t>
      </w:r>
      <w:r w:rsidRPr="00270AD1">
        <w:rPr>
          <w:sz w:val="24"/>
          <w:szCs w:val="24"/>
        </w:rPr>
        <w:t xml:space="preserve">and to decide on the principles and approach of charging spreads to arrive at final rates charged </w:t>
      </w:r>
      <w:r w:rsidR="00F675C4">
        <w:rPr>
          <w:sz w:val="24"/>
          <w:szCs w:val="24"/>
        </w:rPr>
        <w:t xml:space="preserve">to </w:t>
      </w:r>
      <w:r w:rsidRPr="00270AD1">
        <w:rPr>
          <w:sz w:val="24"/>
          <w:szCs w:val="24"/>
        </w:rPr>
        <w:t>customers.</w:t>
      </w:r>
    </w:p>
    <w:p w14:paraId="628FE364" w14:textId="77777777" w:rsidR="00270AD1" w:rsidRPr="00270AD1" w:rsidRDefault="00270AD1" w:rsidP="00270AD1">
      <w:pPr>
        <w:jc w:val="both"/>
        <w:rPr>
          <w:sz w:val="24"/>
          <w:szCs w:val="24"/>
        </w:rPr>
      </w:pPr>
    </w:p>
    <w:p w14:paraId="45136525" w14:textId="77777777" w:rsidR="00270AD1" w:rsidRPr="00270AD1" w:rsidRDefault="00270AD1" w:rsidP="00270AD1">
      <w:pPr>
        <w:pStyle w:val="ListParagraph"/>
        <w:numPr>
          <w:ilvl w:val="0"/>
          <w:numId w:val="8"/>
        </w:numPr>
        <w:ind w:left="567" w:hanging="567"/>
        <w:jc w:val="both"/>
        <w:rPr>
          <w:rFonts w:cstheme="minorHAnsi"/>
          <w:b/>
          <w:bCs/>
          <w:sz w:val="24"/>
          <w:szCs w:val="24"/>
        </w:rPr>
      </w:pPr>
      <w:r w:rsidRPr="00270AD1">
        <w:rPr>
          <w:rFonts w:cstheme="minorHAnsi"/>
          <w:b/>
          <w:bCs/>
          <w:sz w:val="24"/>
          <w:szCs w:val="24"/>
        </w:rPr>
        <w:t>GOVERNANCE STRUCTURE</w:t>
      </w:r>
    </w:p>
    <w:p w14:paraId="141C12E9" w14:textId="77777777" w:rsidR="00DB2475" w:rsidRPr="00270AD1" w:rsidRDefault="00270AD1" w:rsidP="00270AD1">
      <w:pPr>
        <w:jc w:val="both"/>
        <w:rPr>
          <w:rFonts w:cstheme="minorHAnsi"/>
          <w:sz w:val="24"/>
          <w:szCs w:val="24"/>
        </w:rPr>
      </w:pPr>
      <w:r w:rsidRPr="00270AD1">
        <w:rPr>
          <w:rFonts w:cstheme="minorHAnsi"/>
          <w:sz w:val="24"/>
          <w:szCs w:val="24"/>
        </w:rPr>
        <w:t xml:space="preserve">The </w:t>
      </w:r>
      <w:r w:rsidR="004F5ED4">
        <w:rPr>
          <w:rFonts w:cstheme="minorHAnsi"/>
          <w:sz w:val="24"/>
          <w:szCs w:val="24"/>
        </w:rPr>
        <w:t>C</w:t>
      </w:r>
      <w:r w:rsidRPr="00270AD1">
        <w:rPr>
          <w:rFonts w:cstheme="minorHAnsi"/>
          <w:sz w:val="24"/>
          <w:szCs w:val="24"/>
        </w:rPr>
        <w:t xml:space="preserve">ompany shall have the following governance structure for the approval and implementation of this policy. </w:t>
      </w:r>
    </w:p>
    <w:p w14:paraId="140E3FA7" w14:textId="77777777" w:rsidR="00270AD1" w:rsidRPr="00270AD1" w:rsidRDefault="00270AD1" w:rsidP="00270AD1">
      <w:pPr>
        <w:pStyle w:val="ListParagraph"/>
        <w:numPr>
          <w:ilvl w:val="0"/>
          <w:numId w:val="10"/>
        </w:numPr>
        <w:jc w:val="both"/>
        <w:rPr>
          <w:rFonts w:cstheme="minorHAnsi"/>
          <w:b/>
          <w:bCs/>
          <w:sz w:val="24"/>
          <w:szCs w:val="24"/>
        </w:rPr>
      </w:pPr>
      <w:r w:rsidRPr="00270AD1">
        <w:rPr>
          <w:rFonts w:cstheme="minorHAnsi"/>
          <w:b/>
          <w:bCs/>
          <w:sz w:val="24"/>
          <w:szCs w:val="24"/>
        </w:rPr>
        <w:t xml:space="preserve">Board of Directors </w:t>
      </w:r>
    </w:p>
    <w:p w14:paraId="01AC9654" w14:textId="77777777" w:rsidR="00270AD1" w:rsidRPr="00270AD1" w:rsidRDefault="00270AD1" w:rsidP="00270AD1">
      <w:pPr>
        <w:pStyle w:val="ListParagraph"/>
        <w:numPr>
          <w:ilvl w:val="1"/>
          <w:numId w:val="10"/>
        </w:numPr>
        <w:jc w:val="both"/>
        <w:rPr>
          <w:rFonts w:cstheme="minorHAnsi"/>
          <w:sz w:val="24"/>
          <w:szCs w:val="24"/>
        </w:rPr>
      </w:pPr>
      <w:r w:rsidRPr="00270AD1">
        <w:rPr>
          <w:rFonts w:cstheme="minorHAnsi"/>
          <w:sz w:val="24"/>
          <w:szCs w:val="24"/>
        </w:rPr>
        <w:t xml:space="preserve">Approval of this </w:t>
      </w:r>
      <w:r w:rsidR="00E76E1E">
        <w:rPr>
          <w:rFonts w:cstheme="minorHAnsi"/>
          <w:sz w:val="24"/>
          <w:szCs w:val="24"/>
        </w:rPr>
        <w:t>P</w:t>
      </w:r>
      <w:r w:rsidRPr="00270AD1">
        <w:rPr>
          <w:rFonts w:cstheme="minorHAnsi"/>
          <w:sz w:val="24"/>
          <w:szCs w:val="24"/>
        </w:rPr>
        <w:t xml:space="preserve">olicy </w:t>
      </w:r>
    </w:p>
    <w:p w14:paraId="550FD1E2" w14:textId="77777777" w:rsidR="00270AD1" w:rsidRPr="00270AD1" w:rsidRDefault="004F5ED4" w:rsidP="00270AD1">
      <w:pPr>
        <w:pStyle w:val="ListParagraph"/>
        <w:numPr>
          <w:ilvl w:val="1"/>
          <w:numId w:val="10"/>
        </w:numPr>
        <w:jc w:val="both"/>
        <w:rPr>
          <w:rFonts w:cstheme="minorHAnsi"/>
          <w:sz w:val="24"/>
          <w:szCs w:val="24"/>
        </w:rPr>
      </w:pPr>
      <w:r>
        <w:rPr>
          <w:rFonts w:cstheme="minorHAnsi"/>
          <w:sz w:val="24"/>
          <w:szCs w:val="24"/>
        </w:rPr>
        <w:t xml:space="preserve">Annual review of </w:t>
      </w:r>
      <w:r w:rsidR="00144379">
        <w:rPr>
          <w:rFonts w:cstheme="minorHAnsi"/>
          <w:sz w:val="24"/>
          <w:szCs w:val="24"/>
        </w:rPr>
        <w:t xml:space="preserve">average </w:t>
      </w:r>
      <w:r w:rsidR="00D01585">
        <w:rPr>
          <w:rFonts w:cstheme="minorHAnsi"/>
          <w:sz w:val="24"/>
          <w:szCs w:val="24"/>
        </w:rPr>
        <w:t>annualized</w:t>
      </w:r>
      <w:r w:rsidR="00FC2968">
        <w:rPr>
          <w:rFonts w:cstheme="minorHAnsi"/>
          <w:sz w:val="24"/>
          <w:szCs w:val="24"/>
        </w:rPr>
        <w:t xml:space="preserve"> </w:t>
      </w:r>
      <w:r>
        <w:rPr>
          <w:rFonts w:cstheme="minorHAnsi"/>
          <w:sz w:val="24"/>
          <w:szCs w:val="24"/>
        </w:rPr>
        <w:t>interest rate</w:t>
      </w:r>
      <w:r w:rsidR="00FA55E7">
        <w:rPr>
          <w:rFonts w:cstheme="minorHAnsi"/>
          <w:sz w:val="24"/>
          <w:szCs w:val="24"/>
        </w:rPr>
        <w:t xml:space="preserve"> range</w:t>
      </w:r>
      <w:r>
        <w:rPr>
          <w:rFonts w:cstheme="minorHAnsi"/>
          <w:sz w:val="24"/>
          <w:szCs w:val="24"/>
        </w:rPr>
        <w:t xml:space="preserve"> charged </w:t>
      </w:r>
      <w:r w:rsidR="00FC2968">
        <w:rPr>
          <w:rFonts w:cstheme="minorHAnsi"/>
          <w:sz w:val="24"/>
          <w:szCs w:val="24"/>
        </w:rPr>
        <w:t xml:space="preserve">to </w:t>
      </w:r>
      <w:r w:rsidR="001F37DF">
        <w:rPr>
          <w:rFonts w:cstheme="minorHAnsi"/>
          <w:sz w:val="24"/>
          <w:szCs w:val="24"/>
        </w:rPr>
        <w:t>customers</w:t>
      </w:r>
      <w:r w:rsidR="00D01585">
        <w:rPr>
          <w:rFonts w:cstheme="minorHAnsi"/>
          <w:sz w:val="24"/>
          <w:szCs w:val="24"/>
        </w:rPr>
        <w:t>.</w:t>
      </w:r>
    </w:p>
    <w:p w14:paraId="5AF39BE0" w14:textId="77777777" w:rsidR="00E2468C" w:rsidRPr="003E58C4" w:rsidRDefault="00E76E1E" w:rsidP="003E58C4">
      <w:pPr>
        <w:pStyle w:val="ListParagraph"/>
        <w:numPr>
          <w:ilvl w:val="1"/>
          <w:numId w:val="10"/>
        </w:numPr>
        <w:jc w:val="both"/>
        <w:rPr>
          <w:rFonts w:cstheme="minorHAnsi"/>
          <w:sz w:val="24"/>
          <w:szCs w:val="24"/>
        </w:rPr>
      </w:pPr>
      <w:r>
        <w:rPr>
          <w:rFonts w:cstheme="minorHAnsi"/>
          <w:sz w:val="24"/>
          <w:szCs w:val="24"/>
        </w:rPr>
        <w:t xml:space="preserve">Delegate certain operational aspects of this Policy to ALCO / ALMCO, as it may </w:t>
      </w:r>
      <w:r w:rsidR="001F37DF">
        <w:rPr>
          <w:rFonts w:cstheme="minorHAnsi"/>
          <w:sz w:val="24"/>
          <w:szCs w:val="24"/>
        </w:rPr>
        <w:t>deem</w:t>
      </w:r>
      <w:r>
        <w:rPr>
          <w:rFonts w:cstheme="minorHAnsi"/>
          <w:sz w:val="24"/>
          <w:szCs w:val="24"/>
        </w:rPr>
        <w:t xml:space="preserve"> fit.</w:t>
      </w:r>
    </w:p>
    <w:p w14:paraId="4EAFC9E0" w14:textId="77777777" w:rsidR="00E2468C" w:rsidRPr="00270AD1" w:rsidRDefault="00E2468C" w:rsidP="00270AD1">
      <w:pPr>
        <w:pStyle w:val="ListParagraph"/>
        <w:ind w:left="1515"/>
        <w:jc w:val="both"/>
        <w:rPr>
          <w:rFonts w:cstheme="minorHAnsi"/>
          <w:sz w:val="24"/>
          <w:szCs w:val="24"/>
        </w:rPr>
      </w:pPr>
    </w:p>
    <w:p w14:paraId="48E0669F" w14:textId="77777777" w:rsidR="00270AD1" w:rsidRPr="00270AD1" w:rsidRDefault="00270AD1" w:rsidP="00270AD1">
      <w:pPr>
        <w:pStyle w:val="ListParagraph"/>
        <w:numPr>
          <w:ilvl w:val="0"/>
          <w:numId w:val="10"/>
        </w:numPr>
        <w:jc w:val="both"/>
        <w:rPr>
          <w:rFonts w:cstheme="minorHAnsi"/>
          <w:b/>
          <w:bCs/>
          <w:sz w:val="24"/>
          <w:szCs w:val="24"/>
        </w:rPr>
      </w:pPr>
      <w:r w:rsidRPr="00270AD1">
        <w:rPr>
          <w:rFonts w:cstheme="minorHAnsi"/>
          <w:b/>
          <w:bCs/>
          <w:sz w:val="24"/>
          <w:szCs w:val="24"/>
        </w:rPr>
        <w:t>Asset Liability Committee of the Board (“ALCO”)</w:t>
      </w:r>
    </w:p>
    <w:p w14:paraId="63CDD034" w14:textId="77777777" w:rsidR="00270AD1" w:rsidRDefault="00B217D6" w:rsidP="00485FFE">
      <w:pPr>
        <w:pStyle w:val="ListParagraph"/>
        <w:numPr>
          <w:ilvl w:val="1"/>
          <w:numId w:val="10"/>
        </w:numPr>
        <w:jc w:val="both"/>
        <w:rPr>
          <w:rFonts w:cstheme="minorHAnsi"/>
          <w:sz w:val="24"/>
          <w:szCs w:val="24"/>
        </w:rPr>
      </w:pPr>
      <w:r w:rsidRPr="0084060C">
        <w:rPr>
          <w:rFonts w:cstheme="minorHAnsi"/>
          <w:sz w:val="24"/>
          <w:szCs w:val="24"/>
        </w:rPr>
        <w:t>Periodic review (Annual or in between 12 calendar months, if required) of changes required to this Policy</w:t>
      </w:r>
      <w:r w:rsidR="0084060C" w:rsidRPr="0084060C">
        <w:rPr>
          <w:rFonts w:cstheme="minorHAnsi"/>
          <w:sz w:val="24"/>
          <w:szCs w:val="24"/>
        </w:rPr>
        <w:t xml:space="preserve"> and </w:t>
      </w:r>
      <w:r w:rsidR="00270AD1" w:rsidRPr="0084060C">
        <w:rPr>
          <w:rFonts w:cstheme="minorHAnsi"/>
          <w:sz w:val="24"/>
          <w:szCs w:val="24"/>
        </w:rPr>
        <w:t xml:space="preserve">recommending any modifications to the Board. </w:t>
      </w:r>
    </w:p>
    <w:p w14:paraId="69B9510D" w14:textId="77777777" w:rsidR="002E7D2A" w:rsidRDefault="002E7D2A" w:rsidP="002E7D2A">
      <w:pPr>
        <w:pStyle w:val="ListParagraph"/>
        <w:numPr>
          <w:ilvl w:val="1"/>
          <w:numId w:val="10"/>
        </w:numPr>
        <w:jc w:val="both"/>
        <w:rPr>
          <w:rFonts w:cstheme="minorHAnsi"/>
          <w:sz w:val="24"/>
          <w:szCs w:val="24"/>
        </w:rPr>
      </w:pPr>
      <w:r>
        <w:rPr>
          <w:rFonts w:cstheme="minorHAnsi"/>
          <w:sz w:val="24"/>
          <w:szCs w:val="24"/>
        </w:rPr>
        <w:t xml:space="preserve">Review of </w:t>
      </w:r>
      <w:r w:rsidR="00144379">
        <w:rPr>
          <w:rFonts w:cstheme="minorHAnsi"/>
          <w:sz w:val="24"/>
          <w:szCs w:val="24"/>
        </w:rPr>
        <w:t xml:space="preserve">average </w:t>
      </w:r>
      <w:r w:rsidR="00374904">
        <w:rPr>
          <w:rFonts w:cstheme="minorHAnsi"/>
          <w:sz w:val="24"/>
          <w:szCs w:val="24"/>
        </w:rPr>
        <w:t>annualized</w:t>
      </w:r>
      <w:r w:rsidR="00867AEE">
        <w:rPr>
          <w:rFonts w:cstheme="minorHAnsi"/>
          <w:sz w:val="24"/>
          <w:szCs w:val="24"/>
        </w:rPr>
        <w:t xml:space="preserve"> </w:t>
      </w:r>
      <w:r>
        <w:rPr>
          <w:rFonts w:cstheme="minorHAnsi"/>
          <w:sz w:val="24"/>
          <w:szCs w:val="24"/>
        </w:rPr>
        <w:t>interest rate</w:t>
      </w:r>
      <w:r w:rsidR="00867AEE">
        <w:rPr>
          <w:rFonts w:cstheme="minorHAnsi"/>
          <w:sz w:val="24"/>
          <w:szCs w:val="24"/>
        </w:rPr>
        <w:t xml:space="preserve"> range</w:t>
      </w:r>
      <w:r>
        <w:rPr>
          <w:rFonts w:cstheme="minorHAnsi"/>
          <w:sz w:val="24"/>
          <w:szCs w:val="24"/>
        </w:rPr>
        <w:t xml:space="preserve"> charged by business verticals</w:t>
      </w:r>
      <w:r w:rsidR="00004537">
        <w:rPr>
          <w:rFonts w:cstheme="minorHAnsi"/>
          <w:sz w:val="24"/>
          <w:szCs w:val="24"/>
        </w:rPr>
        <w:t xml:space="preserve"> </w:t>
      </w:r>
      <w:r>
        <w:rPr>
          <w:rFonts w:cstheme="minorHAnsi"/>
          <w:sz w:val="24"/>
          <w:szCs w:val="24"/>
        </w:rPr>
        <w:t>on a quarterly basis</w:t>
      </w:r>
    </w:p>
    <w:p w14:paraId="05674AB9" w14:textId="77777777" w:rsidR="00270AD1" w:rsidRPr="00270AD1" w:rsidRDefault="00270AD1" w:rsidP="003E58C4">
      <w:pPr>
        <w:ind w:left="720"/>
        <w:jc w:val="both"/>
        <w:rPr>
          <w:rFonts w:cstheme="minorHAnsi"/>
          <w:sz w:val="24"/>
          <w:szCs w:val="24"/>
        </w:rPr>
      </w:pPr>
      <w:r w:rsidRPr="00270AD1">
        <w:rPr>
          <w:rFonts w:cstheme="minorHAnsi"/>
          <w:sz w:val="24"/>
          <w:szCs w:val="24"/>
        </w:rPr>
        <w:lastRenderedPageBreak/>
        <w:t xml:space="preserve">The ALCO may ensure the above compliances through the Asset Liability Management Committee (“ALMCO”) of the </w:t>
      </w:r>
      <w:r w:rsidR="001F37DF" w:rsidRPr="00270AD1">
        <w:rPr>
          <w:rFonts w:cstheme="minorHAnsi"/>
          <w:sz w:val="24"/>
          <w:szCs w:val="24"/>
        </w:rPr>
        <w:t>company.</w:t>
      </w:r>
    </w:p>
    <w:p w14:paraId="66AA5D5E" w14:textId="77777777" w:rsidR="00270AD1" w:rsidRPr="00270AD1" w:rsidRDefault="00270AD1" w:rsidP="00270AD1">
      <w:pPr>
        <w:pStyle w:val="ListParagraph"/>
        <w:ind w:left="567"/>
        <w:jc w:val="both"/>
        <w:rPr>
          <w:rFonts w:cstheme="minorHAnsi"/>
          <w:sz w:val="24"/>
          <w:szCs w:val="24"/>
        </w:rPr>
      </w:pPr>
    </w:p>
    <w:p w14:paraId="30CCC7E6" w14:textId="77777777" w:rsidR="00270AD1" w:rsidRPr="00270AD1" w:rsidRDefault="00270AD1" w:rsidP="00270AD1">
      <w:pPr>
        <w:pStyle w:val="ListParagraph"/>
        <w:numPr>
          <w:ilvl w:val="0"/>
          <w:numId w:val="10"/>
        </w:numPr>
        <w:jc w:val="both"/>
        <w:rPr>
          <w:rFonts w:cstheme="minorHAnsi"/>
          <w:b/>
          <w:bCs/>
          <w:sz w:val="24"/>
          <w:szCs w:val="24"/>
        </w:rPr>
      </w:pPr>
      <w:r w:rsidRPr="00270AD1">
        <w:rPr>
          <w:rFonts w:cstheme="minorHAnsi"/>
          <w:b/>
          <w:bCs/>
          <w:sz w:val="24"/>
          <w:szCs w:val="24"/>
        </w:rPr>
        <w:t>Asset Liability Management Committee (“ALMCO”)</w:t>
      </w:r>
    </w:p>
    <w:p w14:paraId="3B1D99D9" w14:textId="77777777" w:rsidR="0061517C" w:rsidRDefault="0061517C" w:rsidP="00270AD1">
      <w:pPr>
        <w:pStyle w:val="ListParagraph"/>
        <w:numPr>
          <w:ilvl w:val="1"/>
          <w:numId w:val="10"/>
        </w:numPr>
        <w:jc w:val="both"/>
        <w:rPr>
          <w:rFonts w:cstheme="minorHAnsi"/>
          <w:sz w:val="24"/>
          <w:szCs w:val="24"/>
        </w:rPr>
      </w:pPr>
      <w:r>
        <w:rPr>
          <w:rFonts w:cstheme="minorHAnsi"/>
          <w:sz w:val="24"/>
          <w:szCs w:val="24"/>
        </w:rPr>
        <w:t xml:space="preserve">Ensuring </w:t>
      </w:r>
      <w:r w:rsidRPr="00270AD1">
        <w:rPr>
          <w:rFonts w:cstheme="minorHAnsi"/>
          <w:sz w:val="24"/>
          <w:szCs w:val="24"/>
        </w:rPr>
        <w:t xml:space="preserve">implementation of this </w:t>
      </w:r>
      <w:r>
        <w:rPr>
          <w:rFonts w:cstheme="minorHAnsi"/>
          <w:sz w:val="24"/>
          <w:szCs w:val="24"/>
        </w:rPr>
        <w:t>P</w:t>
      </w:r>
      <w:r w:rsidRPr="00270AD1">
        <w:rPr>
          <w:rFonts w:cstheme="minorHAnsi"/>
          <w:sz w:val="24"/>
          <w:szCs w:val="24"/>
        </w:rPr>
        <w:t>olicy</w:t>
      </w:r>
      <w:r>
        <w:rPr>
          <w:rFonts w:cstheme="minorHAnsi"/>
          <w:sz w:val="24"/>
          <w:szCs w:val="24"/>
        </w:rPr>
        <w:t xml:space="preserve"> by all the business </w:t>
      </w:r>
      <w:r w:rsidR="00AC3AF1">
        <w:rPr>
          <w:rFonts w:cstheme="minorHAnsi"/>
          <w:sz w:val="24"/>
          <w:szCs w:val="24"/>
        </w:rPr>
        <w:t>segment</w:t>
      </w:r>
      <w:r w:rsidR="001B3AA2">
        <w:rPr>
          <w:rFonts w:cstheme="minorHAnsi"/>
          <w:sz w:val="24"/>
          <w:szCs w:val="24"/>
        </w:rPr>
        <w:t>s</w:t>
      </w:r>
      <w:r w:rsidR="00AC3AF1">
        <w:rPr>
          <w:rFonts w:cstheme="minorHAnsi"/>
          <w:sz w:val="24"/>
          <w:szCs w:val="24"/>
        </w:rPr>
        <w:t xml:space="preserve"> </w:t>
      </w:r>
      <w:r>
        <w:rPr>
          <w:rFonts w:cstheme="minorHAnsi"/>
          <w:sz w:val="24"/>
          <w:szCs w:val="24"/>
        </w:rPr>
        <w:t>and reporting to the ALCO in case of any deviation.</w:t>
      </w:r>
    </w:p>
    <w:p w14:paraId="79A3E4C2" w14:textId="77777777" w:rsidR="004F5ED4" w:rsidRDefault="004F5ED4" w:rsidP="00270AD1">
      <w:pPr>
        <w:pStyle w:val="ListParagraph"/>
        <w:numPr>
          <w:ilvl w:val="1"/>
          <w:numId w:val="10"/>
        </w:numPr>
        <w:jc w:val="both"/>
        <w:rPr>
          <w:rFonts w:cstheme="minorHAnsi"/>
          <w:sz w:val="24"/>
          <w:szCs w:val="24"/>
        </w:rPr>
      </w:pPr>
      <w:r w:rsidRPr="00270AD1">
        <w:rPr>
          <w:rFonts w:cstheme="minorHAnsi"/>
          <w:sz w:val="24"/>
          <w:szCs w:val="24"/>
        </w:rPr>
        <w:t xml:space="preserve">Approval of </w:t>
      </w:r>
      <w:r>
        <w:rPr>
          <w:rFonts w:cstheme="minorHAnsi"/>
          <w:sz w:val="24"/>
          <w:szCs w:val="24"/>
        </w:rPr>
        <w:t xml:space="preserve">interest rate model applicable for </w:t>
      </w:r>
      <w:r w:rsidRPr="00270AD1">
        <w:rPr>
          <w:rFonts w:cstheme="minorHAnsi"/>
          <w:sz w:val="24"/>
          <w:szCs w:val="24"/>
        </w:rPr>
        <w:t xml:space="preserve">any new </w:t>
      </w:r>
      <w:r w:rsidR="00733437">
        <w:rPr>
          <w:rFonts w:cstheme="minorHAnsi"/>
          <w:sz w:val="24"/>
          <w:szCs w:val="24"/>
        </w:rPr>
        <w:t xml:space="preserve">business </w:t>
      </w:r>
      <w:r w:rsidR="00AC3AF1">
        <w:rPr>
          <w:rFonts w:cstheme="minorHAnsi"/>
          <w:sz w:val="24"/>
          <w:szCs w:val="24"/>
        </w:rPr>
        <w:t>segment</w:t>
      </w:r>
      <w:r>
        <w:rPr>
          <w:rFonts w:cstheme="minorHAnsi"/>
          <w:sz w:val="24"/>
          <w:szCs w:val="24"/>
        </w:rPr>
        <w:t>;</w:t>
      </w:r>
      <w:r w:rsidRPr="00270AD1">
        <w:rPr>
          <w:rFonts w:cstheme="minorHAnsi"/>
          <w:sz w:val="24"/>
          <w:szCs w:val="24"/>
        </w:rPr>
        <w:t xml:space="preserve"> approval of changes/ amendments/ modifications in the existing</w:t>
      </w:r>
      <w:r w:rsidR="00B06CEE">
        <w:rPr>
          <w:rFonts w:cstheme="minorHAnsi"/>
          <w:sz w:val="24"/>
          <w:szCs w:val="24"/>
        </w:rPr>
        <w:t xml:space="preserve"> business</w:t>
      </w:r>
      <w:r w:rsidRPr="00270AD1">
        <w:rPr>
          <w:rFonts w:cstheme="minorHAnsi"/>
          <w:sz w:val="24"/>
          <w:szCs w:val="24"/>
        </w:rPr>
        <w:t xml:space="preserve"> </w:t>
      </w:r>
      <w:r w:rsidR="00AC3AF1">
        <w:rPr>
          <w:rFonts w:cstheme="minorHAnsi"/>
          <w:sz w:val="24"/>
          <w:szCs w:val="24"/>
        </w:rPr>
        <w:t>segment</w:t>
      </w:r>
      <w:r w:rsidR="001B3AA2">
        <w:rPr>
          <w:rFonts w:cstheme="minorHAnsi"/>
          <w:sz w:val="24"/>
          <w:szCs w:val="24"/>
        </w:rPr>
        <w:t>(s)</w:t>
      </w:r>
      <w:r w:rsidRPr="00270AD1">
        <w:rPr>
          <w:rFonts w:cstheme="minorHAnsi"/>
          <w:sz w:val="24"/>
          <w:szCs w:val="24"/>
        </w:rPr>
        <w:t>.</w:t>
      </w:r>
    </w:p>
    <w:p w14:paraId="1F8BD8E5" w14:textId="77777777" w:rsidR="004F5ED4" w:rsidRDefault="004F5ED4" w:rsidP="00270AD1">
      <w:pPr>
        <w:pStyle w:val="ListParagraph"/>
        <w:numPr>
          <w:ilvl w:val="1"/>
          <w:numId w:val="10"/>
        </w:numPr>
        <w:jc w:val="both"/>
        <w:rPr>
          <w:rFonts w:cstheme="minorHAnsi"/>
          <w:sz w:val="24"/>
          <w:szCs w:val="24"/>
        </w:rPr>
      </w:pPr>
      <w:r>
        <w:rPr>
          <w:rFonts w:cstheme="minorHAnsi"/>
          <w:sz w:val="24"/>
          <w:szCs w:val="24"/>
        </w:rPr>
        <w:t xml:space="preserve">Review / </w:t>
      </w:r>
      <w:r w:rsidRPr="00270AD1">
        <w:rPr>
          <w:rFonts w:cstheme="minorHAnsi"/>
          <w:sz w:val="24"/>
          <w:szCs w:val="24"/>
        </w:rPr>
        <w:t>Ratification</w:t>
      </w:r>
      <w:r>
        <w:rPr>
          <w:rFonts w:cstheme="minorHAnsi"/>
          <w:sz w:val="24"/>
          <w:szCs w:val="24"/>
        </w:rPr>
        <w:t xml:space="preserve"> of deviations (if any) </w:t>
      </w:r>
      <w:r w:rsidR="002E7D2A">
        <w:rPr>
          <w:rFonts w:cstheme="minorHAnsi"/>
          <w:sz w:val="24"/>
          <w:szCs w:val="24"/>
        </w:rPr>
        <w:t xml:space="preserve">to </w:t>
      </w:r>
      <w:r>
        <w:rPr>
          <w:rFonts w:cstheme="minorHAnsi"/>
          <w:sz w:val="24"/>
          <w:szCs w:val="24"/>
        </w:rPr>
        <w:t xml:space="preserve">the interest rate </w:t>
      </w:r>
      <w:r w:rsidR="001F37DF">
        <w:rPr>
          <w:rFonts w:cstheme="minorHAnsi"/>
          <w:sz w:val="24"/>
          <w:szCs w:val="24"/>
        </w:rPr>
        <w:t>model.</w:t>
      </w:r>
    </w:p>
    <w:p w14:paraId="530C8AC1" w14:textId="77777777" w:rsidR="004F5ED4" w:rsidRDefault="004F5ED4" w:rsidP="00270AD1">
      <w:pPr>
        <w:pStyle w:val="ListParagraph"/>
        <w:numPr>
          <w:ilvl w:val="1"/>
          <w:numId w:val="10"/>
        </w:numPr>
        <w:jc w:val="both"/>
        <w:rPr>
          <w:rFonts w:cstheme="minorHAnsi"/>
          <w:sz w:val="24"/>
          <w:szCs w:val="24"/>
        </w:rPr>
      </w:pPr>
      <w:r>
        <w:rPr>
          <w:rFonts w:cstheme="minorHAnsi"/>
          <w:sz w:val="24"/>
          <w:szCs w:val="24"/>
        </w:rPr>
        <w:t xml:space="preserve">Review </w:t>
      </w:r>
      <w:r w:rsidR="00144379">
        <w:rPr>
          <w:rFonts w:cstheme="minorHAnsi"/>
          <w:sz w:val="24"/>
          <w:szCs w:val="24"/>
        </w:rPr>
        <w:t>average</w:t>
      </w:r>
      <w:r w:rsidR="00246A72">
        <w:rPr>
          <w:rFonts w:cstheme="minorHAnsi"/>
          <w:sz w:val="24"/>
          <w:szCs w:val="24"/>
        </w:rPr>
        <w:t xml:space="preserve"> </w:t>
      </w:r>
      <w:r w:rsidR="001F37DF">
        <w:rPr>
          <w:rFonts w:cstheme="minorHAnsi"/>
          <w:sz w:val="24"/>
          <w:szCs w:val="24"/>
        </w:rPr>
        <w:t>annualized</w:t>
      </w:r>
      <w:r w:rsidR="00246A72">
        <w:rPr>
          <w:rFonts w:cstheme="minorHAnsi"/>
          <w:sz w:val="24"/>
          <w:szCs w:val="24"/>
        </w:rPr>
        <w:t xml:space="preserve"> </w:t>
      </w:r>
      <w:r>
        <w:rPr>
          <w:rFonts w:cstheme="minorHAnsi"/>
          <w:sz w:val="24"/>
          <w:szCs w:val="24"/>
        </w:rPr>
        <w:t xml:space="preserve">interest rates charged by business </w:t>
      </w:r>
      <w:r w:rsidR="00AC3AF1">
        <w:rPr>
          <w:rFonts w:cstheme="minorHAnsi"/>
          <w:sz w:val="24"/>
          <w:szCs w:val="24"/>
        </w:rPr>
        <w:t>segment</w:t>
      </w:r>
      <w:r w:rsidR="001B3AA2">
        <w:rPr>
          <w:rFonts w:cstheme="minorHAnsi"/>
          <w:sz w:val="24"/>
          <w:szCs w:val="24"/>
        </w:rPr>
        <w:t>s</w:t>
      </w:r>
      <w:r w:rsidR="00AC3AF1">
        <w:rPr>
          <w:rFonts w:cstheme="minorHAnsi"/>
          <w:sz w:val="24"/>
          <w:szCs w:val="24"/>
        </w:rPr>
        <w:t xml:space="preserve"> </w:t>
      </w:r>
    </w:p>
    <w:p w14:paraId="2333E57B" w14:textId="77777777" w:rsidR="00270AD1" w:rsidRDefault="0061517C" w:rsidP="009E659D">
      <w:pPr>
        <w:pStyle w:val="ListParagraph"/>
        <w:numPr>
          <w:ilvl w:val="1"/>
          <w:numId w:val="10"/>
        </w:numPr>
        <w:jc w:val="both"/>
        <w:rPr>
          <w:rFonts w:cstheme="minorHAnsi"/>
          <w:sz w:val="24"/>
          <w:szCs w:val="24"/>
        </w:rPr>
      </w:pPr>
      <w:r w:rsidRPr="0061517C">
        <w:rPr>
          <w:rFonts w:cstheme="minorHAnsi"/>
          <w:sz w:val="24"/>
          <w:szCs w:val="24"/>
        </w:rPr>
        <w:t xml:space="preserve">Put up for approval to the ALCO any changes </w:t>
      </w:r>
      <w:r w:rsidR="002E7D2A">
        <w:rPr>
          <w:rFonts w:cstheme="minorHAnsi"/>
          <w:sz w:val="24"/>
          <w:szCs w:val="24"/>
        </w:rPr>
        <w:t xml:space="preserve">if </w:t>
      </w:r>
      <w:r w:rsidRPr="0061517C">
        <w:rPr>
          <w:rFonts w:cstheme="minorHAnsi"/>
          <w:sz w:val="24"/>
          <w:szCs w:val="24"/>
        </w:rPr>
        <w:t xml:space="preserve">required in the </w:t>
      </w:r>
      <w:r w:rsidR="001F37DF" w:rsidRPr="0061517C">
        <w:rPr>
          <w:rFonts w:cstheme="minorHAnsi"/>
          <w:sz w:val="24"/>
          <w:szCs w:val="24"/>
        </w:rPr>
        <w:t>Policy.</w:t>
      </w:r>
    </w:p>
    <w:p w14:paraId="18F77195" w14:textId="77777777" w:rsidR="0061517C" w:rsidRDefault="0061517C" w:rsidP="0061517C">
      <w:pPr>
        <w:pStyle w:val="ListParagraph"/>
        <w:ind w:left="795"/>
        <w:jc w:val="both"/>
        <w:rPr>
          <w:rFonts w:cstheme="minorHAnsi"/>
          <w:sz w:val="24"/>
          <w:szCs w:val="24"/>
        </w:rPr>
      </w:pPr>
    </w:p>
    <w:p w14:paraId="67CD290F" w14:textId="77777777" w:rsidR="0061517C" w:rsidRDefault="0061517C" w:rsidP="0061517C">
      <w:pPr>
        <w:pStyle w:val="ListParagraph"/>
        <w:numPr>
          <w:ilvl w:val="0"/>
          <w:numId w:val="10"/>
        </w:numPr>
        <w:jc w:val="both"/>
        <w:rPr>
          <w:rFonts w:cstheme="minorHAnsi"/>
          <w:b/>
          <w:bCs/>
          <w:sz w:val="24"/>
          <w:szCs w:val="24"/>
        </w:rPr>
      </w:pPr>
      <w:r w:rsidRPr="0061517C">
        <w:rPr>
          <w:rFonts w:cstheme="minorHAnsi"/>
          <w:b/>
          <w:bCs/>
          <w:sz w:val="24"/>
          <w:szCs w:val="24"/>
        </w:rPr>
        <w:t xml:space="preserve">Business </w:t>
      </w:r>
      <w:r w:rsidR="00AC3AF1">
        <w:rPr>
          <w:rFonts w:cstheme="minorHAnsi"/>
          <w:b/>
          <w:bCs/>
          <w:sz w:val="24"/>
          <w:szCs w:val="24"/>
        </w:rPr>
        <w:t>Segment</w:t>
      </w:r>
      <w:r w:rsidR="001B3AA2">
        <w:rPr>
          <w:rFonts w:cstheme="minorHAnsi"/>
          <w:b/>
          <w:bCs/>
          <w:sz w:val="24"/>
          <w:szCs w:val="24"/>
        </w:rPr>
        <w:t>(s)</w:t>
      </w:r>
    </w:p>
    <w:p w14:paraId="44AD0CAD" w14:textId="77777777" w:rsidR="00926D0D" w:rsidRDefault="00B06CEE" w:rsidP="00926D0D">
      <w:pPr>
        <w:pStyle w:val="ListParagraph"/>
        <w:numPr>
          <w:ilvl w:val="1"/>
          <w:numId w:val="10"/>
        </w:numPr>
        <w:jc w:val="both"/>
        <w:rPr>
          <w:rFonts w:cstheme="minorHAnsi"/>
          <w:sz w:val="24"/>
          <w:szCs w:val="24"/>
        </w:rPr>
      </w:pPr>
      <w:r>
        <w:rPr>
          <w:rFonts w:cstheme="minorHAnsi"/>
          <w:sz w:val="24"/>
          <w:szCs w:val="24"/>
        </w:rPr>
        <w:t>All</w:t>
      </w:r>
      <w:r w:rsidR="001B3AA2">
        <w:rPr>
          <w:rFonts w:cstheme="minorHAnsi"/>
          <w:sz w:val="24"/>
          <w:szCs w:val="24"/>
        </w:rPr>
        <w:t xml:space="preserve"> </w:t>
      </w:r>
      <w:r w:rsidR="00926D0D">
        <w:rPr>
          <w:rFonts w:cstheme="minorHAnsi"/>
          <w:sz w:val="24"/>
          <w:szCs w:val="24"/>
        </w:rPr>
        <w:t xml:space="preserve">business </w:t>
      </w:r>
      <w:r w:rsidR="000057E9">
        <w:rPr>
          <w:rFonts w:cstheme="minorHAnsi"/>
          <w:sz w:val="24"/>
          <w:szCs w:val="24"/>
        </w:rPr>
        <w:t>segments should</w:t>
      </w:r>
      <w:r w:rsidR="00926D0D">
        <w:rPr>
          <w:rFonts w:cstheme="minorHAnsi"/>
          <w:sz w:val="24"/>
          <w:szCs w:val="24"/>
        </w:rPr>
        <w:t xml:space="preserve"> </w:t>
      </w:r>
      <w:r w:rsidR="00926D0D" w:rsidRPr="00926D0D">
        <w:rPr>
          <w:rFonts w:cstheme="minorHAnsi"/>
          <w:sz w:val="24"/>
          <w:szCs w:val="24"/>
        </w:rPr>
        <w:t>develop</w:t>
      </w:r>
      <w:r w:rsidR="00926D0D">
        <w:rPr>
          <w:rFonts w:cstheme="minorHAnsi"/>
          <w:sz w:val="24"/>
          <w:szCs w:val="24"/>
        </w:rPr>
        <w:t xml:space="preserve"> their respective pricing framework</w:t>
      </w:r>
      <w:r w:rsidR="008C48BD">
        <w:rPr>
          <w:rFonts w:cstheme="minorHAnsi"/>
          <w:sz w:val="24"/>
          <w:szCs w:val="24"/>
        </w:rPr>
        <w:t xml:space="preserve"> </w:t>
      </w:r>
      <w:r w:rsidR="00926D0D">
        <w:rPr>
          <w:rFonts w:cstheme="minorHAnsi"/>
          <w:sz w:val="24"/>
          <w:szCs w:val="24"/>
        </w:rPr>
        <w:t xml:space="preserve">for </w:t>
      </w:r>
      <w:r w:rsidR="00FC0A98">
        <w:rPr>
          <w:rFonts w:cstheme="minorHAnsi"/>
          <w:sz w:val="24"/>
          <w:szCs w:val="24"/>
        </w:rPr>
        <w:t xml:space="preserve">their </w:t>
      </w:r>
      <w:r w:rsidR="00926D0D">
        <w:rPr>
          <w:rFonts w:cstheme="minorHAnsi"/>
          <w:sz w:val="24"/>
          <w:szCs w:val="24"/>
        </w:rPr>
        <w:t xml:space="preserve"> </w:t>
      </w:r>
      <w:r w:rsidR="004565A3">
        <w:rPr>
          <w:rFonts w:cstheme="minorHAnsi"/>
          <w:sz w:val="24"/>
          <w:szCs w:val="24"/>
        </w:rPr>
        <w:t>segment</w:t>
      </w:r>
      <w:r w:rsidR="00926D0D">
        <w:rPr>
          <w:rFonts w:cstheme="minorHAnsi"/>
          <w:sz w:val="24"/>
          <w:szCs w:val="24"/>
        </w:rPr>
        <w:t xml:space="preserve"> </w:t>
      </w:r>
      <w:r w:rsidR="004A7662">
        <w:rPr>
          <w:rFonts w:cstheme="minorHAnsi"/>
          <w:sz w:val="24"/>
          <w:szCs w:val="24"/>
        </w:rPr>
        <w:t xml:space="preserve"> viz, Vehicles, SME business</w:t>
      </w:r>
      <w:r w:rsidR="002E3867">
        <w:rPr>
          <w:rFonts w:cstheme="minorHAnsi"/>
          <w:sz w:val="24"/>
          <w:szCs w:val="24"/>
        </w:rPr>
        <w:t>,</w:t>
      </w:r>
      <w:r w:rsidR="004A7662">
        <w:rPr>
          <w:rFonts w:cstheme="minorHAnsi"/>
          <w:sz w:val="24"/>
          <w:szCs w:val="24"/>
        </w:rPr>
        <w:t xml:space="preserve"> Leasing</w:t>
      </w:r>
      <w:r w:rsidR="002E3867">
        <w:rPr>
          <w:rFonts w:cstheme="minorHAnsi"/>
          <w:sz w:val="24"/>
          <w:szCs w:val="24"/>
        </w:rPr>
        <w:t xml:space="preserve"> and Personal Loans</w:t>
      </w:r>
      <w:r w:rsidR="004A7662">
        <w:rPr>
          <w:rFonts w:cstheme="minorHAnsi"/>
          <w:sz w:val="24"/>
          <w:szCs w:val="24"/>
        </w:rPr>
        <w:t xml:space="preserve"> </w:t>
      </w:r>
      <w:r w:rsidR="00926D0D" w:rsidRPr="00926D0D">
        <w:rPr>
          <w:rFonts w:cstheme="minorHAnsi"/>
          <w:sz w:val="24"/>
          <w:szCs w:val="24"/>
        </w:rPr>
        <w:t>using the Interest Rate Model as defined under Clause IV below</w:t>
      </w:r>
      <w:r w:rsidR="00926D0D">
        <w:rPr>
          <w:rFonts w:cstheme="minorHAnsi"/>
          <w:sz w:val="24"/>
          <w:szCs w:val="24"/>
        </w:rPr>
        <w:t xml:space="preserve"> and decide the spreads to arrive at the </w:t>
      </w:r>
      <w:r w:rsidR="00144379">
        <w:rPr>
          <w:rFonts w:cstheme="minorHAnsi"/>
          <w:sz w:val="24"/>
          <w:szCs w:val="24"/>
        </w:rPr>
        <w:t>average</w:t>
      </w:r>
      <w:bookmarkStart w:id="3" w:name="_Hlk189148913"/>
      <w:r w:rsidR="00144379">
        <w:rPr>
          <w:rFonts w:cstheme="minorHAnsi"/>
          <w:sz w:val="24"/>
          <w:szCs w:val="24"/>
        </w:rPr>
        <w:t xml:space="preserve"> </w:t>
      </w:r>
      <w:r w:rsidR="001F37DF">
        <w:rPr>
          <w:rFonts w:cstheme="minorHAnsi"/>
          <w:sz w:val="24"/>
          <w:szCs w:val="24"/>
        </w:rPr>
        <w:t>annualized</w:t>
      </w:r>
      <w:r w:rsidR="00926D0D">
        <w:rPr>
          <w:rFonts w:cstheme="minorHAnsi"/>
          <w:sz w:val="24"/>
          <w:szCs w:val="24"/>
        </w:rPr>
        <w:t xml:space="preserve"> interest rates</w:t>
      </w:r>
      <w:r w:rsidR="00144379">
        <w:rPr>
          <w:rFonts w:cstheme="minorHAnsi"/>
          <w:sz w:val="24"/>
          <w:szCs w:val="24"/>
        </w:rPr>
        <w:t xml:space="preserve"> for </w:t>
      </w:r>
      <w:r w:rsidR="00FC0A98">
        <w:rPr>
          <w:rFonts w:cstheme="minorHAnsi"/>
          <w:sz w:val="24"/>
          <w:szCs w:val="24"/>
        </w:rPr>
        <w:t xml:space="preserve">the </w:t>
      </w:r>
      <w:r w:rsidR="00144379">
        <w:rPr>
          <w:rFonts w:cstheme="minorHAnsi"/>
          <w:sz w:val="24"/>
          <w:szCs w:val="24"/>
        </w:rPr>
        <w:t>month</w:t>
      </w:r>
      <w:r w:rsidR="00926D0D">
        <w:rPr>
          <w:rFonts w:cstheme="minorHAnsi"/>
          <w:sz w:val="24"/>
          <w:szCs w:val="24"/>
        </w:rPr>
        <w:t xml:space="preserve"> to be charged to customers.</w:t>
      </w:r>
      <w:bookmarkEnd w:id="3"/>
    </w:p>
    <w:p w14:paraId="3DCC15B9" w14:textId="77777777" w:rsidR="00926D0D" w:rsidRPr="006B730D" w:rsidRDefault="00926D0D" w:rsidP="00926D0D">
      <w:pPr>
        <w:pStyle w:val="ListParagraph"/>
        <w:numPr>
          <w:ilvl w:val="2"/>
          <w:numId w:val="10"/>
        </w:numPr>
        <w:jc w:val="both"/>
        <w:rPr>
          <w:rFonts w:cstheme="minorHAnsi"/>
          <w:sz w:val="24"/>
          <w:szCs w:val="24"/>
        </w:rPr>
      </w:pPr>
      <w:r w:rsidRPr="00926D0D">
        <w:rPr>
          <w:rFonts w:cstheme="minorHAnsi"/>
          <w:sz w:val="24"/>
          <w:szCs w:val="24"/>
        </w:rPr>
        <w:t xml:space="preserve">The above framework shall be published at the beginning of the year, based on budgets for each </w:t>
      </w:r>
      <w:r w:rsidR="004565A3">
        <w:rPr>
          <w:rFonts w:cstheme="minorHAnsi"/>
          <w:sz w:val="24"/>
          <w:szCs w:val="24"/>
        </w:rPr>
        <w:t>segment</w:t>
      </w:r>
      <w:r w:rsidRPr="00926D0D">
        <w:rPr>
          <w:rFonts w:cstheme="minorHAnsi"/>
          <w:sz w:val="24"/>
          <w:szCs w:val="24"/>
        </w:rPr>
        <w:t xml:space="preserve">. </w:t>
      </w:r>
    </w:p>
    <w:p w14:paraId="596A41FB" w14:textId="77777777" w:rsidR="00926D0D" w:rsidRPr="00926D0D" w:rsidRDefault="00926D0D" w:rsidP="00926D0D">
      <w:pPr>
        <w:pStyle w:val="ListParagraph"/>
        <w:numPr>
          <w:ilvl w:val="2"/>
          <w:numId w:val="10"/>
        </w:numPr>
        <w:jc w:val="both"/>
        <w:rPr>
          <w:rFonts w:cstheme="minorHAnsi"/>
          <w:sz w:val="24"/>
          <w:szCs w:val="24"/>
        </w:rPr>
      </w:pPr>
      <w:r w:rsidRPr="00926D0D">
        <w:rPr>
          <w:rFonts w:cstheme="minorHAnsi"/>
          <w:sz w:val="24"/>
          <w:szCs w:val="24"/>
        </w:rPr>
        <w:t xml:space="preserve">The Interest rate model to be updated every month </w:t>
      </w:r>
      <w:r w:rsidR="001F37DF" w:rsidRPr="00926D0D">
        <w:rPr>
          <w:rFonts w:cstheme="minorHAnsi"/>
          <w:sz w:val="24"/>
          <w:szCs w:val="24"/>
        </w:rPr>
        <w:t>based on the</w:t>
      </w:r>
      <w:r w:rsidRPr="00926D0D">
        <w:rPr>
          <w:rFonts w:cstheme="minorHAnsi"/>
          <w:sz w:val="24"/>
          <w:szCs w:val="24"/>
        </w:rPr>
        <w:t xml:space="preserve"> </w:t>
      </w:r>
      <w:r w:rsidR="00063C82" w:rsidRPr="00832A67">
        <w:rPr>
          <w:rFonts w:cstheme="minorHAnsi"/>
          <w:sz w:val="24"/>
          <w:szCs w:val="24"/>
        </w:rPr>
        <w:t>Fund Transfer Pricing framework (</w:t>
      </w:r>
      <w:r w:rsidRPr="00926D0D">
        <w:rPr>
          <w:rFonts w:cstheme="minorHAnsi"/>
          <w:sz w:val="24"/>
          <w:szCs w:val="24"/>
        </w:rPr>
        <w:t>FTP</w:t>
      </w:r>
      <w:r w:rsidR="00063C82">
        <w:rPr>
          <w:rFonts w:cstheme="minorHAnsi"/>
          <w:sz w:val="24"/>
          <w:szCs w:val="24"/>
        </w:rPr>
        <w:t>)</w:t>
      </w:r>
      <w:r w:rsidRPr="00926D0D">
        <w:rPr>
          <w:rFonts w:cstheme="minorHAnsi"/>
          <w:sz w:val="24"/>
          <w:szCs w:val="24"/>
        </w:rPr>
        <w:t xml:space="preserve"> provided by Treasury.</w:t>
      </w:r>
    </w:p>
    <w:p w14:paraId="5C7229FA" w14:textId="77777777" w:rsidR="00926D0D" w:rsidRPr="00926D0D" w:rsidRDefault="00926D0D" w:rsidP="00926D0D">
      <w:pPr>
        <w:pStyle w:val="ListParagraph"/>
        <w:numPr>
          <w:ilvl w:val="2"/>
          <w:numId w:val="10"/>
        </w:numPr>
        <w:jc w:val="both"/>
        <w:rPr>
          <w:rFonts w:cstheme="minorHAnsi"/>
          <w:sz w:val="24"/>
          <w:szCs w:val="24"/>
        </w:rPr>
      </w:pPr>
      <w:r w:rsidRPr="00926D0D">
        <w:rPr>
          <w:rFonts w:cstheme="minorHAnsi"/>
          <w:sz w:val="24"/>
          <w:szCs w:val="24"/>
        </w:rPr>
        <w:t xml:space="preserve">The other elements of Interest rate framework such as opex, credit cost and leverage </w:t>
      </w:r>
      <w:r w:rsidR="001F37DF" w:rsidRPr="00926D0D">
        <w:rPr>
          <w:rFonts w:cstheme="minorHAnsi"/>
          <w:sz w:val="24"/>
          <w:szCs w:val="24"/>
        </w:rPr>
        <w:t>etc.</w:t>
      </w:r>
      <w:r w:rsidRPr="00926D0D">
        <w:rPr>
          <w:rFonts w:cstheme="minorHAnsi"/>
          <w:sz w:val="24"/>
          <w:szCs w:val="24"/>
        </w:rPr>
        <w:t xml:space="preserve"> may also get updated/modified for H2 of a relevant year basis the </w:t>
      </w:r>
      <w:r w:rsidR="00DB2475" w:rsidRPr="00926D0D">
        <w:rPr>
          <w:rFonts w:cstheme="minorHAnsi"/>
          <w:sz w:val="24"/>
          <w:szCs w:val="24"/>
        </w:rPr>
        <w:t>actual</w:t>
      </w:r>
    </w:p>
    <w:p w14:paraId="22C135F6" w14:textId="77777777" w:rsidR="004C5A42" w:rsidRPr="008C48BD" w:rsidRDefault="008C48BD" w:rsidP="008C48BD">
      <w:pPr>
        <w:pStyle w:val="ListParagraph"/>
        <w:numPr>
          <w:ilvl w:val="0"/>
          <w:numId w:val="24"/>
        </w:numPr>
        <w:jc w:val="both"/>
        <w:rPr>
          <w:rFonts w:cstheme="minorHAnsi"/>
          <w:sz w:val="24"/>
          <w:szCs w:val="24"/>
        </w:rPr>
      </w:pPr>
      <w:r w:rsidRPr="008C48BD">
        <w:rPr>
          <w:rFonts w:cstheme="minorHAnsi"/>
          <w:sz w:val="24"/>
          <w:szCs w:val="24"/>
        </w:rPr>
        <w:t xml:space="preserve">The above framework shall be </w:t>
      </w:r>
      <w:r w:rsidR="003B04AE">
        <w:rPr>
          <w:rFonts w:cstheme="minorHAnsi"/>
          <w:sz w:val="24"/>
          <w:szCs w:val="24"/>
        </w:rPr>
        <w:t>jointly approved by respective segment head</w:t>
      </w:r>
      <w:r w:rsidR="004221BE">
        <w:rPr>
          <w:rFonts w:cstheme="minorHAnsi"/>
          <w:sz w:val="24"/>
          <w:szCs w:val="24"/>
        </w:rPr>
        <w:t xml:space="preserve">, </w:t>
      </w:r>
      <w:r w:rsidR="003B04AE">
        <w:rPr>
          <w:rFonts w:cstheme="minorHAnsi"/>
          <w:sz w:val="24"/>
          <w:szCs w:val="24"/>
        </w:rPr>
        <w:t>COO</w:t>
      </w:r>
      <w:r w:rsidR="00D611E8">
        <w:rPr>
          <w:rFonts w:cstheme="minorHAnsi"/>
          <w:sz w:val="24"/>
          <w:szCs w:val="24"/>
        </w:rPr>
        <w:t xml:space="preserve"> and CFO</w:t>
      </w:r>
    </w:p>
    <w:p w14:paraId="693FE58C" w14:textId="77777777" w:rsidR="00290471" w:rsidRPr="00290471" w:rsidRDefault="00AE535A" w:rsidP="00290471">
      <w:pPr>
        <w:pStyle w:val="ListParagraph"/>
        <w:numPr>
          <w:ilvl w:val="1"/>
          <w:numId w:val="10"/>
        </w:numPr>
        <w:jc w:val="both"/>
        <w:rPr>
          <w:rFonts w:cstheme="minorHAnsi"/>
          <w:sz w:val="24"/>
          <w:szCs w:val="24"/>
        </w:rPr>
      </w:pPr>
      <w:r>
        <w:rPr>
          <w:rFonts w:cstheme="minorHAnsi"/>
          <w:sz w:val="24"/>
          <w:szCs w:val="24"/>
        </w:rPr>
        <w:t xml:space="preserve">Each business </w:t>
      </w:r>
      <w:r w:rsidR="008844AE">
        <w:rPr>
          <w:rFonts w:cstheme="minorHAnsi"/>
          <w:sz w:val="24"/>
          <w:szCs w:val="24"/>
        </w:rPr>
        <w:t xml:space="preserve">segment </w:t>
      </w:r>
      <w:r>
        <w:rPr>
          <w:rFonts w:cstheme="minorHAnsi"/>
          <w:sz w:val="24"/>
          <w:szCs w:val="24"/>
        </w:rPr>
        <w:t>should p</w:t>
      </w:r>
      <w:r w:rsidR="00290471" w:rsidRPr="00290471">
        <w:rPr>
          <w:rFonts w:cstheme="minorHAnsi"/>
          <w:sz w:val="24"/>
          <w:szCs w:val="24"/>
        </w:rPr>
        <w:t>rovid</w:t>
      </w:r>
      <w:r>
        <w:rPr>
          <w:rFonts w:cstheme="minorHAnsi"/>
          <w:sz w:val="24"/>
          <w:szCs w:val="24"/>
        </w:rPr>
        <w:t>e</w:t>
      </w:r>
      <w:r w:rsidR="00290471">
        <w:rPr>
          <w:rFonts w:cstheme="minorHAnsi"/>
          <w:sz w:val="24"/>
          <w:szCs w:val="24"/>
        </w:rPr>
        <w:t xml:space="preserve"> estimation of tenor-wise d</w:t>
      </w:r>
      <w:r w:rsidR="00290471" w:rsidRPr="00290471">
        <w:rPr>
          <w:rFonts w:cstheme="minorHAnsi"/>
          <w:sz w:val="24"/>
          <w:szCs w:val="24"/>
        </w:rPr>
        <w:t xml:space="preserve">isbursements </w:t>
      </w:r>
      <w:r w:rsidR="00290471">
        <w:rPr>
          <w:rFonts w:cstheme="minorHAnsi"/>
          <w:sz w:val="24"/>
          <w:szCs w:val="24"/>
        </w:rPr>
        <w:t xml:space="preserve">for 3 months on a rolling basis by </w:t>
      </w:r>
      <w:r w:rsidR="00290471" w:rsidRPr="006968BB">
        <w:rPr>
          <w:rFonts w:cstheme="minorHAnsi"/>
          <w:sz w:val="24"/>
          <w:szCs w:val="24"/>
        </w:rPr>
        <w:t xml:space="preserve">the </w:t>
      </w:r>
      <w:r w:rsidR="00832A67" w:rsidRPr="006968BB">
        <w:rPr>
          <w:rFonts w:cstheme="minorHAnsi"/>
          <w:sz w:val="24"/>
          <w:szCs w:val="24"/>
        </w:rPr>
        <w:t>25th of the previous</w:t>
      </w:r>
      <w:r w:rsidR="00290471" w:rsidRPr="006968BB">
        <w:rPr>
          <w:rFonts w:cstheme="minorHAnsi"/>
          <w:sz w:val="24"/>
          <w:szCs w:val="24"/>
        </w:rPr>
        <w:t xml:space="preserve"> month in</w:t>
      </w:r>
      <w:r w:rsidR="00290471">
        <w:rPr>
          <w:rFonts w:cstheme="minorHAnsi"/>
          <w:sz w:val="24"/>
          <w:szCs w:val="24"/>
        </w:rPr>
        <w:t xml:space="preserve"> order to enable Treasury to finalise </w:t>
      </w:r>
      <w:r w:rsidR="00290471" w:rsidRPr="00290471">
        <w:rPr>
          <w:rFonts w:cstheme="minorHAnsi"/>
          <w:sz w:val="24"/>
          <w:szCs w:val="24"/>
        </w:rPr>
        <w:t xml:space="preserve">the FTP for </w:t>
      </w:r>
      <w:r w:rsidR="00290471">
        <w:rPr>
          <w:rFonts w:cstheme="minorHAnsi"/>
          <w:sz w:val="24"/>
          <w:szCs w:val="24"/>
        </w:rPr>
        <w:t>the month.</w:t>
      </w:r>
      <w:r w:rsidR="00290471" w:rsidRPr="00290471">
        <w:rPr>
          <w:rFonts w:cstheme="minorHAnsi"/>
          <w:sz w:val="24"/>
          <w:szCs w:val="24"/>
        </w:rPr>
        <w:t xml:space="preserve"> </w:t>
      </w:r>
      <w:r w:rsidR="008520DC">
        <w:rPr>
          <w:rFonts w:cstheme="minorHAnsi"/>
          <w:sz w:val="24"/>
          <w:szCs w:val="24"/>
        </w:rPr>
        <w:t xml:space="preserve"> Business </w:t>
      </w:r>
      <w:r w:rsidR="00641A92">
        <w:rPr>
          <w:rFonts w:cstheme="minorHAnsi"/>
          <w:sz w:val="24"/>
          <w:szCs w:val="24"/>
        </w:rPr>
        <w:t>segment</w:t>
      </w:r>
      <w:r w:rsidR="00430C15">
        <w:rPr>
          <w:rFonts w:cstheme="minorHAnsi"/>
          <w:sz w:val="24"/>
          <w:szCs w:val="24"/>
        </w:rPr>
        <w:t>s</w:t>
      </w:r>
      <w:r w:rsidR="00641A92">
        <w:rPr>
          <w:rFonts w:cstheme="minorHAnsi"/>
          <w:sz w:val="24"/>
          <w:szCs w:val="24"/>
        </w:rPr>
        <w:t xml:space="preserve"> </w:t>
      </w:r>
      <w:r w:rsidR="008520DC">
        <w:rPr>
          <w:rFonts w:cstheme="minorHAnsi"/>
          <w:sz w:val="24"/>
          <w:szCs w:val="24"/>
        </w:rPr>
        <w:t>shall also keep Treasury updated on various market benchmarks being used for floating rate lending.</w:t>
      </w:r>
    </w:p>
    <w:p w14:paraId="53561B21" w14:textId="77777777" w:rsidR="007B505A" w:rsidRDefault="00B36E77" w:rsidP="0061517C">
      <w:pPr>
        <w:pStyle w:val="ListParagraph"/>
        <w:numPr>
          <w:ilvl w:val="1"/>
          <w:numId w:val="10"/>
        </w:numPr>
        <w:jc w:val="both"/>
        <w:rPr>
          <w:rFonts w:cstheme="minorHAnsi"/>
          <w:sz w:val="24"/>
          <w:szCs w:val="24"/>
        </w:rPr>
      </w:pPr>
      <w:r>
        <w:rPr>
          <w:rFonts w:cstheme="minorHAnsi"/>
          <w:sz w:val="24"/>
          <w:szCs w:val="24"/>
        </w:rPr>
        <w:t xml:space="preserve">Any changes/deviation </w:t>
      </w:r>
      <w:r w:rsidR="00015C5F" w:rsidRPr="00015C5F">
        <w:rPr>
          <w:rFonts w:cstheme="minorHAnsi"/>
          <w:sz w:val="24"/>
          <w:szCs w:val="24"/>
        </w:rPr>
        <w:t xml:space="preserve">to the framework </w:t>
      </w:r>
      <w:r>
        <w:rPr>
          <w:rFonts w:cstheme="minorHAnsi"/>
          <w:sz w:val="24"/>
          <w:szCs w:val="24"/>
        </w:rPr>
        <w:t xml:space="preserve">at each business </w:t>
      </w:r>
      <w:r w:rsidR="00641A92">
        <w:rPr>
          <w:rFonts w:cstheme="minorHAnsi"/>
          <w:sz w:val="24"/>
          <w:szCs w:val="24"/>
        </w:rPr>
        <w:t xml:space="preserve">segment </w:t>
      </w:r>
      <w:r w:rsidR="00C11BF2" w:rsidRPr="00015C5F">
        <w:rPr>
          <w:rFonts w:cstheme="minorHAnsi"/>
          <w:sz w:val="24"/>
          <w:szCs w:val="24"/>
        </w:rPr>
        <w:t>to be offered</w:t>
      </w:r>
      <w:r w:rsidR="00C11BF2">
        <w:rPr>
          <w:rFonts w:cstheme="minorHAnsi"/>
          <w:sz w:val="24"/>
          <w:szCs w:val="24"/>
        </w:rPr>
        <w:t xml:space="preserve"> below the </w:t>
      </w:r>
      <w:r w:rsidR="00144379">
        <w:rPr>
          <w:rFonts w:cstheme="minorHAnsi"/>
          <w:sz w:val="24"/>
          <w:szCs w:val="24"/>
        </w:rPr>
        <w:t xml:space="preserve">average </w:t>
      </w:r>
      <w:r w:rsidR="006968BB">
        <w:rPr>
          <w:rFonts w:cstheme="minorHAnsi"/>
          <w:sz w:val="24"/>
          <w:szCs w:val="24"/>
        </w:rPr>
        <w:t xml:space="preserve">annualized </w:t>
      </w:r>
      <w:r w:rsidR="00C11BF2">
        <w:rPr>
          <w:rFonts w:cstheme="minorHAnsi"/>
          <w:sz w:val="24"/>
          <w:szCs w:val="24"/>
        </w:rPr>
        <w:t xml:space="preserve">lending rate </w:t>
      </w:r>
      <w:r w:rsidR="007B505A">
        <w:rPr>
          <w:rFonts w:cstheme="minorHAnsi"/>
          <w:sz w:val="24"/>
          <w:szCs w:val="24"/>
        </w:rPr>
        <w:t xml:space="preserve">would </w:t>
      </w:r>
      <w:r w:rsidR="007B505A" w:rsidRPr="007B505A">
        <w:rPr>
          <w:rFonts w:cstheme="minorHAnsi"/>
          <w:sz w:val="24"/>
          <w:szCs w:val="24"/>
        </w:rPr>
        <w:t>need to be approved by</w:t>
      </w:r>
      <w:r w:rsidR="007B505A">
        <w:rPr>
          <w:rFonts w:cstheme="minorHAnsi"/>
          <w:sz w:val="24"/>
          <w:szCs w:val="24"/>
        </w:rPr>
        <w:t xml:space="preserve"> </w:t>
      </w:r>
      <w:r w:rsidR="002E7D2A">
        <w:rPr>
          <w:rFonts w:cstheme="minorHAnsi"/>
          <w:sz w:val="24"/>
          <w:szCs w:val="24"/>
        </w:rPr>
        <w:t xml:space="preserve">any two </w:t>
      </w:r>
      <w:r w:rsidR="007B505A">
        <w:rPr>
          <w:rFonts w:cstheme="minorHAnsi"/>
          <w:sz w:val="24"/>
          <w:szCs w:val="24"/>
        </w:rPr>
        <w:t xml:space="preserve">of the following: </w:t>
      </w:r>
    </w:p>
    <w:p w14:paraId="295B90B7" w14:textId="77777777" w:rsidR="0061517C" w:rsidRDefault="00290471" w:rsidP="007B505A">
      <w:pPr>
        <w:pStyle w:val="ListParagraph"/>
        <w:numPr>
          <w:ilvl w:val="2"/>
          <w:numId w:val="10"/>
        </w:numPr>
        <w:jc w:val="both"/>
        <w:rPr>
          <w:rFonts w:cstheme="minorHAnsi"/>
          <w:sz w:val="24"/>
          <w:szCs w:val="24"/>
        </w:rPr>
      </w:pPr>
      <w:r>
        <w:rPr>
          <w:rFonts w:cstheme="minorHAnsi"/>
          <w:sz w:val="24"/>
          <w:szCs w:val="24"/>
        </w:rPr>
        <w:t>Managing Director</w:t>
      </w:r>
    </w:p>
    <w:p w14:paraId="38CB7A26" w14:textId="77777777" w:rsidR="00CF5525" w:rsidRDefault="00CF5525" w:rsidP="007B505A">
      <w:pPr>
        <w:pStyle w:val="ListParagraph"/>
        <w:numPr>
          <w:ilvl w:val="2"/>
          <w:numId w:val="10"/>
        </w:numPr>
        <w:jc w:val="both"/>
        <w:rPr>
          <w:rFonts w:cstheme="minorHAnsi"/>
          <w:sz w:val="24"/>
          <w:szCs w:val="24"/>
        </w:rPr>
      </w:pPr>
      <w:r>
        <w:rPr>
          <w:rFonts w:cstheme="minorHAnsi"/>
          <w:sz w:val="24"/>
          <w:szCs w:val="24"/>
        </w:rPr>
        <w:t xml:space="preserve">Executive Director </w:t>
      </w:r>
    </w:p>
    <w:p w14:paraId="7119CA16" w14:textId="77777777" w:rsidR="00CF5525" w:rsidRDefault="00CF5525" w:rsidP="007B505A">
      <w:pPr>
        <w:pStyle w:val="ListParagraph"/>
        <w:numPr>
          <w:ilvl w:val="2"/>
          <w:numId w:val="10"/>
        </w:numPr>
        <w:jc w:val="both"/>
        <w:rPr>
          <w:rFonts w:cstheme="minorHAnsi"/>
          <w:sz w:val="24"/>
          <w:szCs w:val="24"/>
        </w:rPr>
      </w:pPr>
      <w:r>
        <w:rPr>
          <w:rFonts w:cstheme="minorHAnsi"/>
          <w:sz w:val="24"/>
          <w:szCs w:val="24"/>
        </w:rPr>
        <w:t xml:space="preserve">Chief Financial Officer </w:t>
      </w:r>
    </w:p>
    <w:p w14:paraId="056A965F" w14:textId="77777777" w:rsidR="00CF5525" w:rsidRDefault="00CF5525" w:rsidP="007B505A">
      <w:pPr>
        <w:pStyle w:val="ListParagraph"/>
        <w:numPr>
          <w:ilvl w:val="2"/>
          <w:numId w:val="10"/>
        </w:numPr>
        <w:jc w:val="both"/>
        <w:rPr>
          <w:rFonts w:cstheme="minorHAnsi"/>
          <w:sz w:val="24"/>
          <w:szCs w:val="24"/>
        </w:rPr>
      </w:pPr>
      <w:r>
        <w:rPr>
          <w:rFonts w:cstheme="minorHAnsi"/>
          <w:sz w:val="24"/>
          <w:szCs w:val="24"/>
        </w:rPr>
        <w:t xml:space="preserve">Chief Business Officer </w:t>
      </w:r>
    </w:p>
    <w:p w14:paraId="65176F09" w14:textId="77777777" w:rsidR="002E3867" w:rsidRPr="00EE1308" w:rsidRDefault="004F5ED4" w:rsidP="00EE1308">
      <w:pPr>
        <w:pStyle w:val="ListParagraph"/>
        <w:numPr>
          <w:ilvl w:val="2"/>
          <w:numId w:val="10"/>
        </w:numPr>
        <w:jc w:val="both"/>
        <w:rPr>
          <w:rFonts w:cstheme="minorHAnsi"/>
          <w:sz w:val="24"/>
          <w:szCs w:val="24"/>
        </w:rPr>
      </w:pPr>
      <w:r>
        <w:rPr>
          <w:rFonts w:cstheme="minorHAnsi"/>
          <w:sz w:val="24"/>
          <w:szCs w:val="24"/>
        </w:rPr>
        <w:t xml:space="preserve">Chief Operating Officer </w:t>
      </w:r>
      <w:r w:rsidR="002E7D2A">
        <w:rPr>
          <w:rFonts w:cstheme="minorHAnsi"/>
          <w:sz w:val="24"/>
          <w:szCs w:val="24"/>
        </w:rPr>
        <w:t>of the respective business</w:t>
      </w:r>
    </w:p>
    <w:p w14:paraId="4F0B92C5" w14:textId="77777777" w:rsidR="00C11BF2" w:rsidRPr="00374904" w:rsidRDefault="00C11BF2" w:rsidP="00C11BF2">
      <w:pPr>
        <w:pStyle w:val="ListParagraph"/>
        <w:numPr>
          <w:ilvl w:val="2"/>
          <w:numId w:val="10"/>
        </w:numPr>
        <w:jc w:val="both"/>
        <w:rPr>
          <w:rFonts w:cstheme="minorHAnsi"/>
          <w:sz w:val="24"/>
          <w:szCs w:val="24"/>
        </w:rPr>
      </w:pPr>
      <w:r>
        <w:rPr>
          <w:rFonts w:cstheme="minorHAnsi"/>
          <w:sz w:val="24"/>
          <w:szCs w:val="24"/>
        </w:rPr>
        <w:t xml:space="preserve">Head of  Treasury </w:t>
      </w:r>
    </w:p>
    <w:p w14:paraId="0A0A7BFE" w14:textId="77777777" w:rsidR="00C20E1B" w:rsidRDefault="00C20E1B" w:rsidP="00C20E1B">
      <w:pPr>
        <w:pStyle w:val="ListParagraph"/>
        <w:ind w:left="795"/>
        <w:jc w:val="both"/>
        <w:rPr>
          <w:rFonts w:cstheme="minorHAnsi"/>
          <w:b/>
          <w:bCs/>
          <w:sz w:val="24"/>
          <w:szCs w:val="24"/>
        </w:rPr>
      </w:pPr>
    </w:p>
    <w:p w14:paraId="4F436C61" w14:textId="77777777" w:rsidR="001A444F" w:rsidRDefault="001A444F" w:rsidP="00C20E1B">
      <w:pPr>
        <w:pStyle w:val="ListParagraph"/>
        <w:ind w:left="795"/>
        <w:jc w:val="both"/>
        <w:rPr>
          <w:rFonts w:cstheme="minorHAnsi"/>
          <w:b/>
          <w:bCs/>
          <w:sz w:val="24"/>
          <w:szCs w:val="24"/>
        </w:rPr>
      </w:pPr>
    </w:p>
    <w:p w14:paraId="68A1AC6A" w14:textId="77777777" w:rsidR="002E7D2A" w:rsidRPr="00C20E1B" w:rsidRDefault="002E7D2A" w:rsidP="002E7D2A">
      <w:pPr>
        <w:pStyle w:val="ListParagraph"/>
        <w:numPr>
          <w:ilvl w:val="0"/>
          <w:numId w:val="10"/>
        </w:numPr>
        <w:jc w:val="both"/>
        <w:rPr>
          <w:rFonts w:cstheme="minorHAnsi"/>
          <w:b/>
          <w:bCs/>
          <w:sz w:val="24"/>
          <w:szCs w:val="24"/>
        </w:rPr>
      </w:pPr>
      <w:r w:rsidRPr="00C20E1B">
        <w:rPr>
          <w:rFonts w:cstheme="minorHAnsi"/>
          <w:b/>
          <w:bCs/>
          <w:sz w:val="24"/>
          <w:szCs w:val="24"/>
        </w:rPr>
        <w:lastRenderedPageBreak/>
        <w:t>Treasury Department</w:t>
      </w:r>
    </w:p>
    <w:p w14:paraId="1D603CEB" w14:textId="77777777" w:rsidR="00832A67" w:rsidRDefault="002E7D2A" w:rsidP="00374904">
      <w:pPr>
        <w:pStyle w:val="ListParagraph"/>
        <w:numPr>
          <w:ilvl w:val="1"/>
          <w:numId w:val="10"/>
        </w:numPr>
        <w:jc w:val="both"/>
        <w:rPr>
          <w:rFonts w:cstheme="minorHAnsi"/>
          <w:sz w:val="24"/>
          <w:szCs w:val="24"/>
        </w:rPr>
      </w:pPr>
      <w:r w:rsidRPr="00832A67">
        <w:rPr>
          <w:rFonts w:cstheme="minorHAnsi"/>
          <w:sz w:val="24"/>
          <w:szCs w:val="24"/>
        </w:rPr>
        <w:t xml:space="preserve">Release of the Fund Transfer Pricing framework (FTP) for various business </w:t>
      </w:r>
      <w:r w:rsidR="00792027">
        <w:rPr>
          <w:rFonts w:cstheme="minorHAnsi"/>
          <w:sz w:val="24"/>
          <w:szCs w:val="24"/>
        </w:rPr>
        <w:t>segment</w:t>
      </w:r>
      <w:r w:rsidR="00430C15">
        <w:rPr>
          <w:rFonts w:cstheme="minorHAnsi"/>
          <w:sz w:val="24"/>
          <w:szCs w:val="24"/>
        </w:rPr>
        <w:t>s</w:t>
      </w:r>
      <w:r w:rsidR="00792027" w:rsidRPr="00832A67">
        <w:rPr>
          <w:rFonts w:cstheme="minorHAnsi"/>
          <w:sz w:val="24"/>
          <w:szCs w:val="24"/>
        </w:rPr>
        <w:t xml:space="preserve"> </w:t>
      </w:r>
      <w:r w:rsidRPr="00832A67">
        <w:rPr>
          <w:rFonts w:cstheme="minorHAnsi"/>
          <w:sz w:val="24"/>
          <w:szCs w:val="24"/>
        </w:rPr>
        <w:t xml:space="preserve">by the </w:t>
      </w:r>
      <w:r w:rsidR="00832A67">
        <w:rPr>
          <w:rFonts w:cstheme="minorHAnsi"/>
          <w:sz w:val="24"/>
          <w:szCs w:val="24"/>
        </w:rPr>
        <w:t xml:space="preserve">end of previous month. </w:t>
      </w:r>
      <w:r w:rsidR="00832A67" w:rsidRPr="006968BB">
        <w:rPr>
          <w:rFonts w:cstheme="minorHAnsi"/>
          <w:sz w:val="24"/>
          <w:szCs w:val="24"/>
        </w:rPr>
        <w:t xml:space="preserve">During the month, if due to any macro event, the outlook on interest rates changes drastically necessitating immediate change, then Treasury may </w:t>
      </w:r>
      <w:r w:rsidR="001F37DF" w:rsidRPr="006968BB">
        <w:rPr>
          <w:rFonts w:cstheme="minorHAnsi"/>
          <w:sz w:val="24"/>
          <w:szCs w:val="24"/>
        </w:rPr>
        <w:t>make</w:t>
      </w:r>
      <w:r w:rsidR="00832A67" w:rsidRPr="006968BB">
        <w:rPr>
          <w:rFonts w:cstheme="minorHAnsi"/>
          <w:sz w:val="24"/>
          <w:szCs w:val="24"/>
        </w:rPr>
        <w:t xml:space="preserve"> a mid-month change to the FTP released earlier.</w:t>
      </w:r>
    </w:p>
    <w:p w14:paraId="100DD81E" w14:textId="77777777" w:rsidR="001E1D3E" w:rsidRDefault="001E1D3E" w:rsidP="001E1D3E">
      <w:pPr>
        <w:pStyle w:val="ListParagraph"/>
        <w:ind w:left="1080"/>
        <w:jc w:val="both"/>
        <w:rPr>
          <w:rFonts w:cstheme="minorHAnsi"/>
          <w:sz w:val="24"/>
          <w:szCs w:val="24"/>
        </w:rPr>
      </w:pPr>
    </w:p>
    <w:p w14:paraId="7E28BB14" w14:textId="77777777" w:rsidR="00FC0A98" w:rsidRPr="001E1D3E" w:rsidRDefault="00FC0A98" w:rsidP="00FC0A98">
      <w:pPr>
        <w:pStyle w:val="ListParagraph"/>
        <w:numPr>
          <w:ilvl w:val="0"/>
          <w:numId w:val="10"/>
        </w:numPr>
        <w:jc w:val="both"/>
        <w:rPr>
          <w:rFonts w:cstheme="minorHAnsi"/>
          <w:b/>
          <w:bCs/>
          <w:sz w:val="24"/>
          <w:szCs w:val="24"/>
        </w:rPr>
      </w:pPr>
      <w:r w:rsidRPr="001E1D3E">
        <w:rPr>
          <w:rFonts w:cstheme="minorHAnsi"/>
          <w:b/>
          <w:bCs/>
          <w:sz w:val="24"/>
          <w:szCs w:val="24"/>
        </w:rPr>
        <w:t>Planning and Budgeting Department</w:t>
      </w:r>
    </w:p>
    <w:p w14:paraId="7B9DF9B4" w14:textId="77777777" w:rsidR="00FC0A98" w:rsidRPr="006968BB" w:rsidRDefault="00FC0A98">
      <w:pPr>
        <w:pStyle w:val="ListParagraph"/>
        <w:numPr>
          <w:ilvl w:val="1"/>
          <w:numId w:val="10"/>
        </w:numPr>
        <w:jc w:val="both"/>
        <w:rPr>
          <w:rFonts w:cstheme="minorHAnsi"/>
          <w:sz w:val="24"/>
          <w:szCs w:val="24"/>
        </w:rPr>
      </w:pPr>
      <w:r>
        <w:rPr>
          <w:rFonts w:cstheme="minorHAnsi"/>
          <w:sz w:val="24"/>
          <w:szCs w:val="24"/>
        </w:rPr>
        <w:t xml:space="preserve">Planning and budgeting department shall share information on </w:t>
      </w:r>
      <w:r w:rsidR="00D6577B">
        <w:rPr>
          <w:rFonts w:cstheme="minorHAnsi"/>
          <w:sz w:val="24"/>
          <w:szCs w:val="24"/>
        </w:rPr>
        <w:t xml:space="preserve">other aspects of the interest rate model to business </w:t>
      </w:r>
      <w:r w:rsidR="00792027">
        <w:rPr>
          <w:rFonts w:cstheme="minorHAnsi"/>
          <w:sz w:val="24"/>
          <w:szCs w:val="24"/>
        </w:rPr>
        <w:t>segment</w:t>
      </w:r>
      <w:r w:rsidR="00430C15">
        <w:rPr>
          <w:rFonts w:cstheme="minorHAnsi"/>
          <w:sz w:val="24"/>
          <w:szCs w:val="24"/>
        </w:rPr>
        <w:t>s</w:t>
      </w:r>
      <w:r w:rsidR="002202AC">
        <w:rPr>
          <w:rFonts w:cstheme="minorHAnsi"/>
          <w:sz w:val="24"/>
          <w:szCs w:val="24"/>
        </w:rPr>
        <w:t>.</w:t>
      </w:r>
      <w:r w:rsidR="00D6577B">
        <w:rPr>
          <w:rFonts w:cstheme="minorHAnsi"/>
          <w:sz w:val="24"/>
          <w:szCs w:val="24"/>
        </w:rPr>
        <w:t xml:space="preserve"> </w:t>
      </w:r>
    </w:p>
    <w:p w14:paraId="76816FF0" w14:textId="77777777" w:rsidR="00290471" w:rsidRPr="00832A67" w:rsidRDefault="00290471" w:rsidP="00374904">
      <w:pPr>
        <w:pStyle w:val="ListParagraph"/>
        <w:ind w:left="1080"/>
        <w:jc w:val="both"/>
        <w:rPr>
          <w:rFonts w:cstheme="minorHAnsi"/>
          <w:sz w:val="24"/>
          <w:szCs w:val="24"/>
        </w:rPr>
      </w:pPr>
    </w:p>
    <w:p w14:paraId="5EB04CA3" w14:textId="77777777" w:rsidR="007B505A" w:rsidRDefault="006968BB" w:rsidP="007B505A">
      <w:pPr>
        <w:pStyle w:val="ListParagraph"/>
        <w:numPr>
          <w:ilvl w:val="0"/>
          <w:numId w:val="8"/>
        </w:numPr>
        <w:ind w:left="567" w:hanging="567"/>
        <w:jc w:val="both"/>
        <w:rPr>
          <w:rFonts w:cstheme="minorHAnsi"/>
          <w:b/>
          <w:bCs/>
          <w:sz w:val="24"/>
          <w:szCs w:val="24"/>
        </w:rPr>
      </w:pPr>
      <w:r>
        <w:rPr>
          <w:rFonts w:cstheme="minorHAnsi"/>
          <w:b/>
          <w:bCs/>
          <w:sz w:val="24"/>
          <w:szCs w:val="24"/>
        </w:rPr>
        <w:t>I</w:t>
      </w:r>
      <w:r w:rsidR="007B505A">
        <w:rPr>
          <w:rFonts w:cstheme="minorHAnsi"/>
          <w:b/>
          <w:bCs/>
          <w:sz w:val="24"/>
          <w:szCs w:val="24"/>
        </w:rPr>
        <w:t>NTEREST RATE MODEL</w:t>
      </w:r>
    </w:p>
    <w:p w14:paraId="2C78EC32" w14:textId="77777777" w:rsidR="00C20E1B" w:rsidRDefault="001F37DF" w:rsidP="00A21E7C">
      <w:pPr>
        <w:jc w:val="both"/>
        <w:rPr>
          <w:sz w:val="24"/>
          <w:szCs w:val="24"/>
        </w:rPr>
      </w:pPr>
      <w:r>
        <w:rPr>
          <w:sz w:val="24"/>
          <w:szCs w:val="24"/>
        </w:rPr>
        <w:t>MMFSL,</w:t>
      </w:r>
      <w:r w:rsidR="007B505A">
        <w:rPr>
          <w:sz w:val="24"/>
          <w:szCs w:val="24"/>
        </w:rPr>
        <w:t xml:space="preserve"> </w:t>
      </w:r>
      <w:r w:rsidR="007B505A" w:rsidRPr="007B505A">
        <w:rPr>
          <w:sz w:val="24"/>
          <w:szCs w:val="24"/>
        </w:rPr>
        <w:t xml:space="preserve">being a diversified </w:t>
      </w:r>
      <w:r w:rsidRPr="007B505A">
        <w:rPr>
          <w:sz w:val="24"/>
          <w:szCs w:val="24"/>
        </w:rPr>
        <w:t>NBFC,</w:t>
      </w:r>
      <w:r w:rsidR="007B505A" w:rsidRPr="007B505A">
        <w:rPr>
          <w:sz w:val="24"/>
          <w:szCs w:val="24"/>
        </w:rPr>
        <w:t xml:space="preserve"> lends money through various products to cater to needs of different category of customers. </w:t>
      </w:r>
      <w:r w:rsidR="00290471">
        <w:rPr>
          <w:sz w:val="24"/>
          <w:szCs w:val="24"/>
        </w:rPr>
        <w:t xml:space="preserve">While most of the loans are Fixed rate in nature, floating rate loans are also provided to certain customer </w:t>
      </w:r>
      <w:r w:rsidR="00457766">
        <w:rPr>
          <w:sz w:val="24"/>
          <w:szCs w:val="24"/>
        </w:rPr>
        <w:t>profile</w:t>
      </w:r>
      <w:r w:rsidR="00430C15">
        <w:rPr>
          <w:sz w:val="24"/>
          <w:szCs w:val="24"/>
        </w:rPr>
        <w:t>(s)</w:t>
      </w:r>
      <w:r w:rsidR="00290471">
        <w:rPr>
          <w:sz w:val="24"/>
          <w:szCs w:val="24"/>
        </w:rPr>
        <w:t>.</w:t>
      </w:r>
      <w:r w:rsidR="00BF3A06" w:rsidRPr="00BF3A06">
        <w:rPr>
          <w:sz w:val="24"/>
          <w:szCs w:val="24"/>
        </w:rPr>
        <w:t xml:space="preserve"> </w:t>
      </w:r>
      <w:r w:rsidR="00BE73ED">
        <w:rPr>
          <w:sz w:val="24"/>
          <w:szCs w:val="24"/>
        </w:rPr>
        <w:t xml:space="preserve">The interest rate model lays down the </w:t>
      </w:r>
      <w:r w:rsidR="00144379">
        <w:rPr>
          <w:sz w:val="24"/>
          <w:szCs w:val="24"/>
        </w:rPr>
        <w:t xml:space="preserve">average </w:t>
      </w:r>
      <w:r w:rsidR="00BE73ED">
        <w:rPr>
          <w:sz w:val="24"/>
          <w:szCs w:val="24"/>
        </w:rPr>
        <w:t>interest</w:t>
      </w:r>
      <w:r w:rsidR="00144379">
        <w:rPr>
          <w:sz w:val="24"/>
          <w:szCs w:val="24"/>
        </w:rPr>
        <w:t xml:space="preserve"> </w:t>
      </w:r>
      <w:r w:rsidR="00D6577B">
        <w:rPr>
          <w:sz w:val="24"/>
          <w:szCs w:val="24"/>
        </w:rPr>
        <w:t xml:space="preserve">rate </w:t>
      </w:r>
      <w:r w:rsidR="00144379">
        <w:rPr>
          <w:sz w:val="24"/>
          <w:szCs w:val="24"/>
        </w:rPr>
        <w:t xml:space="preserve">for </w:t>
      </w:r>
      <w:r w:rsidR="00D6577B">
        <w:rPr>
          <w:sz w:val="24"/>
          <w:szCs w:val="24"/>
        </w:rPr>
        <w:t xml:space="preserve">the </w:t>
      </w:r>
      <w:r w:rsidR="00144379">
        <w:rPr>
          <w:sz w:val="24"/>
          <w:szCs w:val="24"/>
        </w:rPr>
        <w:t>month</w:t>
      </w:r>
      <w:r w:rsidR="00BE73ED">
        <w:rPr>
          <w:sz w:val="24"/>
          <w:szCs w:val="24"/>
        </w:rPr>
        <w:t xml:space="preserve"> to be charged to customers across each business </w:t>
      </w:r>
      <w:r w:rsidR="009628B0">
        <w:rPr>
          <w:sz w:val="24"/>
          <w:szCs w:val="24"/>
        </w:rPr>
        <w:t>segment</w:t>
      </w:r>
      <w:r w:rsidR="00BE73ED">
        <w:rPr>
          <w:sz w:val="24"/>
          <w:szCs w:val="24"/>
        </w:rPr>
        <w:t xml:space="preserve">. </w:t>
      </w:r>
    </w:p>
    <w:p w14:paraId="360A11FB" w14:textId="77777777" w:rsidR="008520DC" w:rsidRDefault="008520DC" w:rsidP="008520DC">
      <w:pPr>
        <w:jc w:val="both"/>
        <w:rPr>
          <w:b/>
          <w:bCs/>
          <w:sz w:val="24"/>
          <w:szCs w:val="24"/>
        </w:rPr>
      </w:pPr>
      <w:r w:rsidRPr="008520DC">
        <w:rPr>
          <w:b/>
          <w:bCs/>
          <w:sz w:val="24"/>
          <w:szCs w:val="24"/>
        </w:rPr>
        <w:t xml:space="preserve">Interest rate Model </w:t>
      </w:r>
    </w:p>
    <w:p w14:paraId="3B609F87" w14:textId="77777777" w:rsidR="008520DC" w:rsidRDefault="008520DC" w:rsidP="008520DC">
      <w:pPr>
        <w:jc w:val="both"/>
        <w:rPr>
          <w:sz w:val="24"/>
          <w:szCs w:val="24"/>
        </w:rPr>
      </w:pPr>
      <w:r w:rsidRPr="00A21E7C">
        <w:rPr>
          <w:sz w:val="24"/>
          <w:szCs w:val="24"/>
        </w:rPr>
        <w:t xml:space="preserve">The </w:t>
      </w:r>
      <w:r w:rsidR="00144379">
        <w:rPr>
          <w:sz w:val="24"/>
          <w:szCs w:val="24"/>
        </w:rPr>
        <w:t xml:space="preserve">average </w:t>
      </w:r>
      <w:r w:rsidR="007D66B1">
        <w:rPr>
          <w:sz w:val="24"/>
          <w:szCs w:val="24"/>
        </w:rPr>
        <w:t>annualized</w:t>
      </w:r>
      <w:r w:rsidR="00C01751">
        <w:rPr>
          <w:sz w:val="24"/>
          <w:szCs w:val="24"/>
        </w:rPr>
        <w:t xml:space="preserve"> Interest</w:t>
      </w:r>
      <w:r w:rsidR="00C01751" w:rsidRPr="00A21E7C">
        <w:rPr>
          <w:sz w:val="24"/>
          <w:szCs w:val="24"/>
        </w:rPr>
        <w:t xml:space="preserve"> </w:t>
      </w:r>
      <w:r>
        <w:rPr>
          <w:sz w:val="24"/>
          <w:szCs w:val="24"/>
        </w:rPr>
        <w:t>r</w:t>
      </w:r>
      <w:r w:rsidRPr="00A21E7C">
        <w:rPr>
          <w:sz w:val="24"/>
          <w:szCs w:val="24"/>
        </w:rPr>
        <w:t xml:space="preserve">ate </w:t>
      </w:r>
      <w:r w:rsidR="002F5F64">
        <w:rPr>
          <w:sz w:val="24"/>
          <w:szCs w:val="24"/>
        </w:rPr>
        <w:t xml:space="preserve">for month </w:t>
      </w:r>
      <w:r>
        <w:rPr>
          <w:sz w:val="24"/>
          <w:szCs w:val="24"/>
        </w:rPr>
        <w:t xml:space="preserve">to be calculated </w:t>
      </w:r>
      <w:r w:rsidR="00601024">
        <w:rPr>
          <w:sz w:val="24"/>
          <w:szCs w:val="24"/>
        </w:rPr>
        <w:t>for</w:t>
      </w:r>
      <w:r w:rsidR="002F5F64">
        <w:rPr>
          <w:sz w:val="24"/>
          <w:szCs w:val="24"/>
        </w:rPr>
        <w:t xml:space="preserve"> each</w:t>
      </w:r>
      <w:r w:rsidRPr="00A21E7C">
        <w:rPr>
          <w:sz w:val="24"/>
          <w:szCs w:val="24"/>
        </w:rPr>
        <w:t xml:space="preserve"> </w:t>
      </w:r>
      <w:r>
        <w:rPr>
          <w:sz w:val="24"/>
          <w:szCs w:val="24"/>
        </w:rPr>
        <w:t xml:space="preserve">business </w:t>
      </w:r>
      <w:r w:rsidR="009628B0">
        <w:rPr>
          <w:sz w:val="24"/>
          <w:szCs w:val="24"/>
        </w:rPr>
        <w:t>segment</w:t>
      </w:r>
      <w:r w:rsidR="00CA7E31">
        <w:rPr>
          <w:sz w:val="24"/>
          <w:szCs w:val="24"/>
        </w:rPr>
        <w:t>,</w:t>
      </w:r>
      <w:r>
        <w:rPr>
          <w:sz w:val="24"/>
          <w:szCs w:val="24"/>
        </w:rPr>
        <w:t xml:space="preserve"> </w:t>
      </w:r>
      <w:r w:rsidRPr="00A21E7C">
        <w:rPr>
          <w:sz w:val="24"/>
          <w:szCs w:val="24"/>
        </w:rPr>
        <w:t>is calculated as an aggregation of the following</w:t>
      </w:r>
      <w:r>
        <w:rPr>
          <w:sz w:val="24"/>
          <w:szCs w:val="24"/>
        </w:rPr>
        <w:t xml:space="preserve"> </w:t>
      </w:r>
      <w:r w:rsidRPr="00A21E7C">
        <w:rPr>
          <w:sz w:val="24"/>
          <w:szCs w:val="24"/>
        </w:rPr>
        <w:t>cost factors:</w:t>
      </w:r>
    </w:p>
    <w:tbl>
      <w:tblPr>
        <w:tblStyle w:val="TableGrid"/>
        <w:tblW w:w="0" w:type="auto"/>
        <w:tblInd w:w="137" w:type="dxa"/>
        <w:tblLook w:val="04A0" w:firstRow="1" w:lastRow="0" w:firstColumn="1" w:lastColumn="0" w:noHBand="0" w:noVBand="1"/>
      </w:tblPr>
      <w:tblGrid>
        <w:gridCol w:w="1193"/>
        <w:gridCol w:w="5993"/>
        <w:gridCol w:w="2248"/>
      </w:tblGrid>
      <w:tr w:rsidR="008520DC" w14:paraId="02462776" w14:textId="77777777" w:rsidTr="00AA2C94">
        <w:trPr>
          <w:trHeight w:val="436"/>
        </w:trPr>
        <w:tc>
          <w:tcPr>
            <w:tcW w:w="1193" w:type="dxa"/>
            <w:vAlign w:val="center"/>
          </w:tcPr>
          <w:p w14:paraId="04D4D39D" w14:textId="77777777" w:rsidR="008520DC" w:rsidRPr="00CF6B50" w:rsidRDefault="008520DC" w:rsidP="00AA2C94">
            <w:pPr>
              <w:jc w:val="center"/>
              <w:rPr>
                <w:b/>
                <w:bCs/>
                <w:sz w:val="24"/>
                <w:szCs w:val="24"/>
              </w:rPr>
            </w:pPr>
            <w:r>
              <w:rPr>
                <w:b/>
                <w:bCs/>
                <w:sz w:val="24"/>
                <w:szCs w:val="24"/>
              </w:rPr>
              <w:t>Sr. Ref.</w:t>
            </w:r>
          </w:p>
        </w:tc>
        <w:tc>
          <w:tcPr>
            <w:tcW w:w="5993" w:type="dxa"/>
            <w:vAlign w:val="center"/>
          </w:tcPr>
          <w:p w14:paraId="73C6F224" w14:textId="77777777" w:rsidR="008520DC" w:rsidRPr="00CF6B50" w:rsidRDefault="008520DC" w:rsidP="00AA2C94">
            <w:pPr>
              <w:jc w:val="center"/>
              <w:rPr>
                <w:b/>
                <w:bCs/>
                <w:sz w:val="24"/>
                <w:szCs w:val="24"/>
              </w:rPr>
            </w:pPr>
            <w:r w:rsidRPr="00CF6B50">
              <w:rPr>
                <w:b/>
                <w:bCs/>
                <w:sz w:val="24"/>
                <w:szCs w:val="24"/>
              </w:rPr>
              <w:t>Particulars</w:t>
            </w:r>
          </w:p>
        </w:tc>
        <w:tc>
          <w:tcPr>
            <w:tcW w:w="2248" w:type="dxa"/>
            <w:vAlign w:val="center"/>
          </w:tcPr>
          <w:p w14:paraId="3244538D" w14:textId="77777777" w:rsidR="008520DC" w:rsidRPr="008E3FEB" w:rsidRDefault="008520DC" w:rsidP="00AA2C94">
            <w:pPr>
              <w:jc w:val="center"/>
              <w:rPr>
                <w:b/>
                <w:bCs/>
                <w:sz w:val="24"/>
                <w:szCs w:val="24"/>
              </w:rPr>
            </w:pPr>
            <w:r w:rsidRPr="008E3FEB">
              <w:rPr>
                <w:b/>
                <w:bCs/>
                <w:sz w:val="24"/>
                <w:szCs w:val="24"/>
              </w:rPr>
              <w:t>%</w:t>
            </w:r>
          </w:p>
        </w:tc>
      </w:tr>
      <w:tr w:rsidR="008520DC" w14:paraId="5DF998A0" w14:textId="77777777" w:rsidTr="00AA2C94">
        <w:trPr>
          <w:trHeight w:val="436"/>
        </w:trPr>
        <w:tc>
          <w:tcPr>
            <w:tcW w:w="1193" w:type="dxa"/>
            <w:vAlign w:val="center"/>
          </w:tcPr>
          <w:p w14:paraId="5864882C" w14:textId="77777777" w:rsidR="008520DC" w:rsidRPr="00430033" w:rsidRDefault="008520DC" w:rsidP="00AA2C94">
            <w:pPr>
              <w:pStyle w:val="ListParagraph"/>
              <w:numPr>
                <w:ilvl w:val="0"/>
                <w:numId w:val="16"/>
              </w:numPr>
              <w:rPr>
                <w:sz w:val="24"/>
                <w:szCs w:val="24"/>
              </w:rPr>
            </w:pPr>
          </w:p>
        </w:tc>
        <w:tc>
          <w:tcPr>
            <w:tcW w:w="5993" w:type="dxa"/>
            <w:vAlign w:val="center"/>
          </w:tcPr>
          <w:p w14:paraId="23C8E392" w14:textId="77777777" w:rsidR="008520DC" w:rsidRDefault="008520DC" w:rsidP="00AA2C94">
            <w:pPr>
              <w:rPr>
                <w:sz w:val="24"/>
                <w:szCs w:val="24"/>
              </w:rPr>
            </w:pPr>
            <w:r>
              <w:rPr>
                <w:sz w:val="24"/>
                <w:szCs w:val="24"/>
              </w:rPr>
              <w:t xml:space="preserve">Cost of Funds as per the FTP Framework                                    </w:t>
            </w:r>
          </w:p>
        </w:tc>
        <w:tc>
          <w:tcPr>
            <w:tcW w:w="2248" w:type="dxa"/>
            <w:vAlign w:val="center"/>
          </w:tcPr>
          <w:p w14:paraId="6CCF0B83" w14:textId="77777777" w:rsidR="008520DC" w:rsidRDefault="008520DC" w:rsidP="00AA2C94">
            <w:pPr>
              <w:jc w:val="center"/>
              <w:rPr>
                <w:sz w:val="24"/>
                <w:szCs w:val="24"/>
              </w:rPr>
            </w:pPr>
            <w:r>
              <w:rPr>
                <w:sz w:val="24"/>
                <w:szCs w:val="24"/>
              </w:rPr>
              <w:t>xx%</w:t>
            </w:r>
          </w:p>
        </w:tc>
      </w:tr>
      <w:tr w:rsidR="008520DC" w14:paraId="03CF2E9E" w14:textId="77777777" w:rsidTr="00AA2C94">
        <w:trPr>
          <w:trHeight w:val="459"/>
        </w:trPr>
        <w:tc>
          <w:tcPr>
            <w:tcW w:w="1193" w:type="dxa"/>
            <w:vAlign w:val="center"/>
          </w:tcPr>
          <w:p w14:paraId="4B610BAA" w14:textId="77777777" w:rsidR="008520DC" w:rsidRPr="00430033" w:rsidRDefault="008520DC" w:rsidP="00AA2C94">
            <w:pPr>
              <w:pStyle w:val="ListParagraph"/>
              <w:numPr>
                <w:ilvl w:val="0"/>
                <w:numId w:val="16"/>
              </w:numPr>
              <w:rPr>
                <w:sz w:val="24"/>
                <w:szCs w:val="24"/>
              </w:rPr>
            </w:pPr>
          </w:p>
        </w:tc>
        <w:tc>
          <w:tcPr>
            <w:tcW w:w="5993" w:type="dxa"/>
            <w:vAlign w:val="center"/>
          </w:tcPr>
          <w:p w14:paraId="650954EB" w14:textId="77777777" w:rsidR="008520DC" w:rsidRDefault="008520DC" w:rsidP="00AA2C94">
            <w:pPr>
              <w:rPr>
                <w:sz w:val="24"/>
                <w:szCs w:val="24"/>
              </w:rPr>
            </w:pPr>
            <w:r>
              <w:rPr>
                <w:sz w:val="24"/>
                <w:szCs w:val="24"/>
              </w:rPr>
              <w:t>Leverage Impact (D/E ratio)</w:t>
            </w:r>
          </w:p>
        </w:tc>
        <w:tc>
          <w:tcPr>
            <w:tcW w:w="2248" w:type="dxa"/>
            <w:vAlign w:val="center"/>
          </w:tcPr>
          <w:p w14:paraId="320BA53F" w14:textId="77777777" w:rsidR="008520DC" w:rsidRDefault="008520DC" w:rsidP="00AA2C94">
            <w:pPr>
              <w:jc w:val="center"/>
              <w:rPr>
                <w:sz w:val="24"/>
                <w:szCs w:val="24"/>
              </w:rPr>
            </w:pPr>
            <w:r>
              <w:rPr>
                <w:sz w:val="24"/>
                <w:szCs w:val="24"/>
              </w:rPr>
              <w:t>xx%</w:t>
            </w:r>
          </w:p>
        </w:tc>
      </w:tr>
      <w:tr w:rsidR="008520DC" w14:paraId="59D8ADF9" w14:textId="77777777" w:rsidTr="00AA2C94">
        <w:trPr>
          <w:trHeight w:val="436"/>
        </w:trPr>
        <w:tc>
          <w:tcPr>
            <w:tcW w:w="1193" w:type="dxa"/>
            <w:vAlign w:val="center"/>
          </w:tcPr>
          <w:p w14:paraId="3E3C16E0" w14:textId="77777777" w:rsidR="008520DC" w:rsidRPr="00430033" w:rsidRDefault="008520DC" w:rsidP="00AA2C94">
            <w:pPr>
              <w:pStyle w:val="ListParagraph"/>
              <w:rPr>
                <w:sz w:val="24"/>
                <w:szCs w:val="24"/>
              </w:rPr>
            </w:pPr>
          </w:p>
        </w:tc>
        <w:tc>
          <w:tcPr>
            <w:tcW w:w="5993" w:type="dxa"/>
            <w:vAlign w:val="center"/>
          </w:tcPr>
          <w:p w14:paraId="2246610D" w14:textId="77777777" w:rsidR="008520DC" w:rsidRPr="00715EB7" w:rsidRDefault="008520DC" w:rsidP="00AA2C94">
            <w:pPr>
              <w:rPr>
                <w:b/>
                <w:bCs/>
                <w:sz w:val="24"/>
                <w:szCs w:val="24"/>
              </w:rPr>
            </w:pPr>
            <w:r w:rsidRPr="00715EB7">
              <w:rPr>
                <w:b/>
                <w:bCs/>
                <w:sz w:val="24"/>
                <w:szCs w:val="24"/>
              </w:rPr>
              <w:t xml:space="preserve">Effective Cost of Fund                     </w:t>
            </w:r>
            <w:r>
              <w:rPr>
                <w:b/>
                <w:bCs/>
                <w:sz w:val="24"/>
                <w:szCs w:val="24"/>
              </w:rPr>
              <w:t xml:space="preserve">                  </w:t>
            </w:r>
            <w:r w:rsidRPr="00715EB7">
              <w:rPr>
                <w:b/>
                <w:bCs/>
                <w:sz w:val="24"/>
                <w:szCs w:val="24"/>
              </w:rPr>
              <w:t xml:space="preserve">… </w:t>
            </w:r>
            <w:r>
              <w:rPr>
                <w:b/>
                <w:bCs/>
                <w:sz w:val="24"/>
                <w:szCs w:val="24"/>
              </w:rPr>
              <w:t xml:space="preserve"> </w:t>
            </w:r>
            <w:r w:rsidRPr="00715EB7">
              <w:rPr>
                <w:b/>
                <w:bCs/>
                <w:sz w:val="24"/>
                <w:szCs w:val="24"/>
              </w:rPr>
              <w:t>(A)</w:t>
            </w:r>
          </w:p>
        </w:tc>
        <w:tc>
          <w:tcPr>
            <w:tcW w:w="2248" w:type="dxa"/>
            <w:vAlign w:val="center"/>
          </w:tcPr>
          <w:p w14:paraId="0105E2C1" w14:textId="77777777" w:rsidR="008520DC" w:rsidRPr="00715EB7" w:rsidRDefault="008520DC" w:rsidP="00AA2C94">
            <w:pPr>
              <w:jc w:val="center"/>
              <w:rPr>
                <w:b/>
                <w:bCs/>
                <w:sz w:val="24"/>
                <w:szCs w:val="24"/>
              </w:rPr>
            </w:pPr>
            <w:r w:rsidRPr="00715EB7">
              <w:rPr>
                <w:b/>
                <w:bCs/>
                <w:sz w:val="24"/>
                <w:szCs w:val="24"/>
              </w:rPr>
              <w:t>xx%</w:t>
            </w:r>
          </w:p>
        </w:tc>
      </w:tr>
      <w:tr w:rsidR="008520DC" w14:paraId="3802770E" w14:textId="77777777" w:rsidTr="00AA2C94">
        <w:trPr>
          <w:trHeight w:val="436"/>
        </w:trPr>
        <w:tc>
          <w:tcPr>
            <w:tcW w:w="1193" w:type="dxa"/>
            <w:vAlign w:val="center"/>
          </w:tcPr>
          <w:p w14:paraId="68971B92" w14:textId="77777777" w:rsidR="008520DC" w:rsidRPr="00430033" w:rsidRDefault="008520DC" w:rsidP="00AA2C94">
            <w:pPr>
              <w:pStyle w:val="ListParagraph"/>
              <w:numPr>
                <w:ilvl w:val="0"/>
                <w:numId w:val="16"/>
              </w:numPr>
              <w:rPr>
                <w:sz w:val="24"/>
                <w:szCs w:val="24"/>
              </w:rPr>
            </w:pPr>
          </w:p>
        </w:tc>
        <w:tc>
          <w:tcPr>
            <w:tcW w:w="5993" w:type="dxa"/>
            <w:vAlign w:val="center"/>
          </w:tcPr>
          <w:p w14:paraId="0809ADD9" w14:textId="77777777" w:rsidR="008520DC" w:rsidRDefault="008520DC" w:rsidP="00AA2C94">
            <w:pPr>
              <w:rPr>
                <w:sz w:val="24"/>
                <w:szCs w:val="24"/>
              </w:rPr>
            </w:pPr>
            <w:r>
              <w:rPr>
                <w:sz w:val="24"/>
                <w:szCs w:val="24"/>
              </w:rPr>
              <w:t xml:space="preserve">Budgeted Opex Cost                                          …  (B) </w:t>
            </w:r>
          </w:p>
        </w:tc>
        <w:tc>
          <w:tcPr>
            <w:tcW w:w="2248" w:type="dxa"/>
            <w:vAlign w:val="center"/>
          </w:tcPr>
          <w:p w14:paraId="765F1055" w14:textId="77777777" w:rsidR="008520DC" w:rsidRDefault="008520DC" w:rsidP="00AA2C94">
            <w:pPr>
              <w:jc w:val="center"/>
              <w:rPr>
                <w:sz w:val="24"/>
                <w:szCs w:val="24"/>
              </w:rPr>
            </w:pPr>
            <w:r w:rsidRPr="0039562D">
              <w:rPr>
                <w:sz w:val="24"/>
                <w:szCs w:val="24"/>
              </w:rPr>
              <w:t>xx%</w:t>
            </w:r>
          </w:p>
        </w:tc>
      </w:tr>
      <w:tr w:rsidR="008520DC" w14:paraId="6CE1E98F" w14:textId="77777777" w:rsidTr="00AA2C94">
        <w:trPr>
          <w:trHeight w:val="436"/>
        </w:trPr>
        <w:tc>
          <w:tcPr>
            <w:tcW w:w="1193" w:type="dxa"/>
            <w:vAlign w:val="center"/>
          </w:tcPr>
          <w:p w14:paraId="519E1666" w14:textId="77777777" w:rsidR="008520DC" w:rsidRPr="00430033" w:rsidRDefault="008520DC" w:rsidP="00AA2C94">
            <w:pPr>
              <w:pStyle w:val="ListParagraph"/>
              <w:numPr>
                <w:ilvl w:val="0"/>
                <w:numId w:val="16"/>
              </w:numPr>
              <w:rPr>
                <w:sz w:val="24"/>
                <w:szCs w:val="24"/>
              </w:rPr>
            </w:pPr>
          </w:p>
        </w:tc>
        <w:tc>
          <w:tcPr>
            <w:tcW w:w="5993" w:type="dxa"/>
            <w:vAlign w:val="center"/>
          </w:tcPr>
          <w:p w14:paraId="38CE1761" w14:textId="77777777" w:rsidR="008520DC" w:rsidRDefault="008520DC" w:rsidP="00AA2C94">
            <w:pPr>
              <w:rPr>
                <w:sz w:val="24"/>
                <w:szCs w:val="24"/>
              </w:rPr>
            </w:pPr>
            <w:r>
              <w:rPr>
                <w:sz w:val="24"/>
                <w:szCs w:val="24"/>
              </w:rPr>
              <w:t>Expected Credit Costs                                        …  (C)</w:t>
            </w:r>
          </w:p>
        </w:tc>
        <w:tc>
          <w:tcPr>
            <w:tcW w:w="2248" w:type="dxa"/>
            <w:vAlign w:val="center"/>
          </w:tcPr>
          <w:p w14:paraId="5563B349" w14:textId="77777777" w:rsidR="008520DC" w:rsidRDefault="008520DC" w:rsidP="00AA2C94">
            <w:pPr>
              <w:jc w:val="center"/>
              <w:rPr>
                <w:sz w:val="24"/>
                <w:szCs w:val="24"/>
              </w:rPr>
            </w:pPr>
            <w:r w:rsidRPr="0039562D">
              <w:rPr>
                <w:sz w:val="24"/>
                <w:szCs w:val="24"/>
              </w:rPr>
              <w:t>xx%</w:t>
            </w:r>
          </w:p>
        </w:tc>
      </w:tr>
      <w:tr w:rsidR="008520DC" w14:paraId="24A264E3" w14:textId="77777777" w:rsidTr="00AA2C94">
        <w:trPr>
          <w:trHeight w:val="436"/>
        </w:trPr>
        <w:tc>
          <w:tcPr>
            <w:tcW w:w="1193" w:type="dxa"/>
            <w:vAlign w:val="center"/>
          </w:tcPr>
          <w:p w14:paraId="31C9FE53" w14:textId="77777777" w:rsidR="008520DC" w:rsidRPr="00430033" w:rsidRDefault="008520DC" w:rsidP="00AA2C94">
            <w:pPr>
              <w:pStyle w:val="ListParagraph"/>
              <w:numPr>
                <w:ilvl w:val="0"/>
                <w:numId w:val="16"/>
              </w:numPr>
              <w:rPr>
                <w:sz w:val="24"/>
                <w:szCs w:val="24"/>
              </w:rPr>
            </w:pPr>
          </w:p>
        </w:tc>
        <w:tc>
          <w:tcPr>
            <w:tcW w:w="5993" w:type="dxa"/>
            <w:vAlign w:val="center"/>
          </w:tcPr>
          <w:p w14:paraId="2D2E74DE" w14:textId="77777777" w:rsidR="008520DC" w:rsidRDefault="008520DC" w:rsidP="00AA2C94">
            <w:pPr>
              <w:rPr>
                <w:sz w:val="24"/>
                <w:szCs w:val="24"/>
              </w:rPr>
            </w:pPr>
            <w:r>
              <w:rPr>
                <w:sz w:val="24"/>
                <w:szCs w:val="24"/>
              </w:rPr>
              <w:t>Expected return on Assets                                …  (D)</w:t>
            </w:r>
          </w:p>
        </w:tc>
        <w:tc>
          <w:tcPr>
            <w:tcW w:w="2248" w:type="dxa"/>
            <w:vAlign w:val="center"/>
          </w:tcPr>
          <w:p w14:paraId="6A4643C2" w14:textId="77777777" w:rsidR="008520DC" w:rsidRDefault="008520DC" w:rsidP="00AA2C94">
            <w:pPr>
              <w:jc w:val="center"/>
              <w:rPr>
                <w:sz w:val="24"/>
                <w:szCs w:val="24"/>
              </w:rPr>
            </w:pPr>
            <w:r w:rsidRPr="0039562D">
              <w:rPr>
                <w:sz w:val="24"/>
                <w:szCs w:val="24"/>
              </w:rPr>
              <w:t>xx%</w:t>
            </w:r>
          </w:p>
        </w:tc>
      </w:tr>
      <w:tr w:rsidR="008520DC" w14:paraId="15FBC024" w14:textId="77777777" w:rsidTr="00AA2C94">
        <w:trPr>
          <w:trHeight w:val="413"/>
        </w:trPr>
        <w:tc>
          <w:tcPr>
            <w:tcW w:w="1193" w:type="dxa"/>
            <w:vAlign w:val="center"/>
          </w:tcPr>
          <w:p w14:paraId="0505122A" w14:textId="77777777" w:rsidR="008520DC" w:rsidRPr="00430033" w:rsidRDefault="008520DC" w:rsidP="00AA2C94">
            <w:pPr>
              <w:rPr>
                <w:sz w:val="24"/>
                <w:szCs w:val="24"/>
              </w:rPr>
            </w:pPr>
          </w:p>
        </w:tc>
        <w:tc>
          <w:tcPr>
            <w:tcW w:w="5993" w:type="dxa"/>
            <w:vAlign w:val="center"/>
          </w:tcPr>
          <w:p w14:paraId="2E96837D" w14:textId="77777777" w:rsidR="008520DC" w:rsidRPr="00C20E1B" w:rsidRDefault="00144379" w:rsidP="00AA2C94">
            <w:pPr>
              <w:rPr>
                <w:b/>
                <w:bCs/>
                <w:sz w:val="24"/>
                <w:szCs w:val="24"/>
              </w:rPr>
            </w:pPr>
            <w:r>
              <w:rPr>
                <w:b/>
                <w:bCs/>
                <w:sz w:val="24"/>
                <w:szCs w:val="24"/>
              </w:rPr>
              <w:t xml:space="preserve">Average </w:t>
            </w:r>
            <w:r w:rsidR="00D01585">
              <w:rPr>
                <w:b/>
                <w:bCs/>
                <w:sz w:val="24"/>
                <w:szCs w:val="24"/>
              </w:rPr>
              <w:t>Annualized</w:t>
            </w:r>
            <w:r w:rsidR="00C01751">
              <w:rPr>
                <w:b/>
                <w:bCs/>
                <w:sz w:val="24"/>
                <w:szCs w:val="24"/>
              </w:rPr>
              <w:t xml:space="preserve"> </w:t>
            </w:r>
            <w:r w:rsidR="008520DC">
              <w:rPr>
                <w:b/>
                <w:bCs/>
                <w:sz w:val="24"/>
                <w:szCs w:val="24"/>
              </w:rPr>
              <w:t xml:space="preserve">Interest </w:t>
            </w:r>
            <w:r w:rsidR="008520DC" w:rsidRPr="00C20E1B">
              <w:rPr>
                <w:b/>
                <w:bCs/>
                <w:sz w:val="24"/>
                <w:szCs w:val="24"/>
              </w:rPr>
              <w:t>Rate to be charged</w:t>
            </w:r>
            <w:r w:rsidR="008520DC">
              <w:rPr>
                <w:b/>
                <w:bCs/>
                <w:sz w:val="24"/>
                <w:szCs w:val="24"/>
              </w:rPr>
              <w:t xml:space="preserve"> (sum of A to </w:t>
            </w:r>
            <w:r w:rsidR="00737E36">
              <w:rPr>
                <w:b/>
                <w:bCs/>
                <w:sz w:val="24"/>
                <w:szCs w:val="24"/>
              </w:rPr>
              <w:t>D</w:t>
            </w:r>
            <w:r w:rsidR="008520DC">
              <w:rPr>
                <w:b/>
                <w:bCs/>
                <w:sz w:val="24"/>
                <w:szCs w:val="24"/>
              </w:rPr>
              <w:t>)</w:t>
            </w:r>
          </w:p>
        </w:tc>
        <w:tc>
          <w:tcPr>
            <w:tcW w:w="2248" w:type="dxa"/>
            <w:vAlign w:val="center"/>
          </w:tcPr>
          <w:p w14:paraId="5F3F2F05" w14:textId="77777777" w:rsidR="008520DC" w:rsidRPr="008E3FEB" w:rsidRDefault="008520DC" w:rsidP="00AA2C94">
            <w:pPr>
              <w:jc w:val="center"/>
              <w:rPr>
                <w:b/>
                <w:bCs/>
                <w:sz w:val="24"/>
                <w:szCs w:val="24"/>
              </w:rPr>
            </w:pPr>
            <w:r w:rsidRPr="008E3FEB">
              <w:rPr>
                <w:b/>
                <w:bCs/>
                <w:sz w:val="24"/>
                <w:szCs w:val="24"/>
              </w:rPr>
              <w:t>xx%</w:t>
            </w:r>
          </w:p>
        </w:tc>
      </w:tr>
    </w:tbl>
    <w:p w14:paraId="7606D913" w14:textId="77777777" w:rsidR="00ED3702" w:rsidRDefault="00ED3702" w:rsidP="00A21E7C">
      <w:pPr>
        <w:contextualSpacing/>
        <w:jc w:val="both"/>
        <w:rPr>
          <w:sz w:val="24"/>
          <w:szCs w:val="24"/>
        </w:rPr>
      </w:pPr>
    </w:p>
    <w:p w14:paraId="7FC2B059" w14:textId="77777777" w:rsidR="008520DC" w:rsidRDefault="008520DC" w:rsidP="00A21E7C">
      <w:pPr>
        <w:contextualSpacing/>
        <w:jc w:val="both"/>
        <w:rPr>
          <w:sz w:val="24"/>
          <w:szCs w:val="24"/>
        </w:rPr>
      </w:pPr>
      <w:r>
        <w:rPr>
          <w:sz w:val="24"/>
          <w:szCs w:val="24"/>
        </w:rPr>
        <w:t>The</w:t>
      </w:r>
      <w:r w:rsidR="003826A3">
        <w:rPr>
          <w:sz w:val="24"/>
          <w:szCs w:val="24"/>
        </w:rPr>
        <w:t xml:space="preserve"> description of </w:t>
      </w:r>
      <w:r w:rsidR="001F37DF">
        <w:rPr>
          <w:sz w:val="24"/>
          <w:szCs w:val="24"/>
        </w:rPr>
        <w:t>above-mentioned</w:t>
      </w:r>
      <w:r w:rsidR="003826A3">
        <w:rPr>
          <w:sz w:val="24"/>
          <w:szCs w:val="24"/>
        </w:rPr>
        <w:t xml:space="preserve"> </w:t>
      </w:r>
      <w:r>
        <w:rPr>
          <w:sz w:val="24"/>
          <w:szCs w:val="24"/>
        </w:rPr>
        <w:t xml:space="preserve">cost factors </w:t>
      </w:r>
      <w:r w:rsidR="001F37DF">
        <w:rPr>
          <w:sz w:val="24"/>
          <w:szCs w:val="24"/>
        </w:rPr>
        <w:t>is</w:t>
      </w:r>
      <w:r>
        <w:rPr>
          <w:sz w:val="24"/>
          <w:szCs w:val="24"/>
        </w:rPr>
        <w:t xml:space="preserve"> described below:</w:t>
      </w:r>
    </w:p>
    <w:p w14:paraId="6AF44FAC" w14:textId="77777777" w:rsidR="00BE73ED" w:rsidRPr="00F51860" w:rsidRDefault="00A21E7C" w:rsidP="00A21E7C">
      <w:pPr>
        <w:pStyle w:val="ListParagraph"/>
        <w:numPr>
          <w:ilvl w:val="0"/>
          <w:numId w:val="13"/>
        </w:numPr>
        <w:ind w:left="567" w:hanging="567"/>
        <w:rPr>
          <w:b/>
          <w:bCs/>
          <w:sz w:val="24"/>
          <w:szCs w:val="24"/>
        </w:rPr>
      </w:pPr>
      <w:r>
        <w:rPr>
          <w:b/>
          <w:bCs/>
          <w:sz w:val="24"/>
          <w:szCs w:val="24"/>
        </w:rPr>
        <w:t xml:space="preserve">Cost of Funds as per the </w:t>
      </w:r>
      <w:r w:rsidR="00BE73ED" w:rsidRPr="00F51860">
        <w:rPr>
          <w:b/>
          <w:bCs/>
          <w:sz w:val="24"/>
          <w:szCs w:val="24"/>
        </w:rPr>
        <w:t>Fund Transfer Pricing (FTP) Framework</w:t>
      </w:r>
    </w:p>
    <w:p w14:paraId="39A177BD" w14:textId="77777777" w:rsidR="006968BB" w:rsidRPr="00ED3702" w:rsidRDefault="00BE73ED" w:rsidP="00ED3702">
      <w:pPr>
        <w:pStyle w:val="ListParagraph"/>
        <w:numPr>
          <w:ilvl w:val="1"/>
          <w:numId w:val="12"/>
        </w:numPr>
        <w:ind w:left="993"/>
        <w:jc w:val="both"/>
        <w:rPr>
          <w:sz w:val="24"/>
          <w:szCs w:val="24"/>
        </w:rPr>
      </w:pPr>
      <w:r>
        <w:rPr>
          <w:sz w:val="24"/>
          <w:szCs w:val="24"/>
        </w:rPr>
        <w:t xml:space="preserve">The FTP framework </w:t>
      </w:r>
      <w:r w:rsidRPr="00BE73ED">
        <w:rPr>
          <w:sz w:val="24"/>
          <w:szCs w:val="24"/>
        </w:rPr>
        <w:t xml:space="preserve">shared by the MMFSL treasury team is </w:t>
      </w:r>
      <w:r>
        <w:rPr>
          <w:sz w:val="24"/>
          <w:szCs w:val="24"/>
        </w:rPr>
        <w:t xml:space="preserve">designed considering the </w:t>
      </w:r>
      <w:r w:rsidR="001F37DF">
        <w:rPr>
          <w:sz w:val="24"/>
          <w:szCs w:val="24"/>
        </w:rPr>
        <w:t>tenor-wise</w:t>
      </w:r>
      <w:r>
        <w:rPr>
          <w:sz w:val="24"/>
          <w:szCs w:val="24"/>
        </w:rPr>
        <w:t xml:space="preserve"> projected disbursements for the next 3 months as provided by the business </w:t>
      </w:r>
      <w:r w:rsidR="00EB4ADC">
        <w:rPr>
          <w:sz w:val="24"/>
          <w:szCs w:val="24"/>
        </w:rPr>
        <w:t>segment</w:t>
      </w:r>
      <w:r>
        <w:rPr>
          <w:sz w:val="24"/>
          <w:szCs w:val="24"/>
        </w:rPr>
        <w:t xml:space="preserve">. </w:t>
      </w:r>
    </w:p>
    <w:p w14:paraId="027B6A0D" w14:textId="77777777" w:rsidR="00B0673F" w:rsidRDefault="00BE73ED" w:rsidP="00A21E7C">
      <w:pPr>
        <w:pStyle w:val="ListParagraph"/>
        <w:numPr>
          <w:ilvl w:val="1"/>
          <w:numId w:val="12"/>
        </w:numPr>
        <w:ind w:left="993"/>
        <w:jc w:val="both"/>
        <w:rPr>
          <w:sz w:val="24"/>
          <w:szCs w:val="24"/>
        </w:rPr>
      </w:pPr>
      <w:r>
        <w:rPr>
          <w:sz w:val="24"/>
          <w:szCs w:val="24"/>
        </w:rPr>
        <w:t>FTP fra</w:t>
      </w:r>
      <w:r w:rsidR="006968BB">
        <w:rPr>
          <w:sz w:val="24"/>
          <w:szCs w:val="24"/>
        </w:rPr>
        <w:t>m</w:t>
      </w:r>
      <w:r>
        <w:rPr>
          <w:sz w:val="24"/>
          <w:szCs w:val="24"/>
        </w:rPr>
        <w:t>ework</w:t>
      </w:r>
      <w:r w:rsidR="00B0673F">
        <w:rPr>
          <w:sz w:val="24"/>
          <w:szCs w:val="24"/>
        </w:rPr>
        <w:t xml:space="preserve"> (as mentioned below)</w:t>
      </w:r>
      <w:r>
        <w:rPr>
          <w:sz w:val="24"/>
          <w:szCs w:val="24"/>
        </w:rPr>
        <w:t xml:space="preserve"> provides the business </w:t>
      </w:r>
      <w:r w:rsidR="00EB4ADC">
        <w:rPr>
          <w:sz w:val="24"/>
          <w:szCs w:val="24"/>
        </w:rPr>
        <w:t xml:space="preserve">segment </w:t>
      </w:r>
      <w:r>
        <w:rPr>
          <w:sz w:val="24"/>
          <w:szCs w:val="24"/>
        </w:rPr>
        <w:t xml:space="preserve">wise and tenor wise cost of funds </w:t>
      </w:r>
      <w:r w:rsidR="00B0673F">
        <w:rPr>
          <w:sz w:val="24"/>
          <w:szCs w:val="24"/>
        </w:rPr>
        <w:t xml:space="preserve">for the month post adjusting for the relevant costs: </w:t>
      </w:r>
    </w:p>
    <w:tbl>
      <w:tblPr>
        <w:tblStyle w:val="TableGrid"/>
        <w:tblW w:w="8647" w:type="dxa"/>
        <w:tblInd w:w="846" w:type="dxa"/>
        <w:tblLook w:val="04A0" w:firstRow="1" w:lastRow="0" w:firstColumn="1" w:lastColumn="0" w:noHBand="0" w:noVBand="1"/>
      </w:tblPr>
      <w:tblGrid>
        <w:gridCol w:w="6946"/>
        <w:gridCol w:w="1701"/>
      </w:tblGrid>
      <w:tr w:rsidR="00F51860" w14:paraId="41FC60A9" w14:textId="77777777" w:rsidTr="00ED3702">
        <w:tc>
          <w:tcPr>
            <w:tcW w:w="8647" w:type="dxa"/>
            <w:gridSpan w:val="2"/>
          </w:tcPr>
          <w:p w14:paraId="53A026C6" w14:textId="77777777" w:rsidR="00F51860" w:rsidRPr="00CF6B50" w:rsidRDefault="00F51860" w:rsidP="00FA7F76">
            <w:pPr>
              <w:jc w:val="center"/>
              <w:rPr>
                <w:b/>
                <w:bCs/>
                <w:sz w:val="24"/>
                <w:szCs w:val="24"/>
              </w:rPr>
            </w:pPr>
            <w:r w:rsidRPr="00F51860">
              <w:rPr>
                <w:b/>
                <w:bCs/>
                <w:sz w:val="24"/>
                <w:szCs w:val="24"/>
              </w:rPr>
              <w:lastRenderedPageBreak/>
              <w:t>Fund Transfer Pricing Framework</w:t>
            </w:r>
            <w:r>
              <w:rPr>
                <w:b/>
                <w:bCs/>
                <w:sz w:val="24"/>
                <w:szCs w:val="24"/>
              </w:rPr>
              <w:t xml:space="preserve"> for the month of xxx</w:t>
            </w:r>
          </w:p>
        </w:tc>
      </w:tr>
      <w:tr w:rsidR="00B0673F" w14:paraId="7EA2A5C1" w14:textId="77777777" w:rsidTr="00ED3702">
        <w:tc>
          <w:tcPr>
            <w:tcW w:w="6946" w:type="dxa"/>
          </w:tcPr>
          <w:p w14:paraId="0A14FF00" w14:textId="77777777" w:rsidR="00B0673F" w:rsidRPr="00CF6B50" w:rsidRDefault="00F51860" w:rsidP="00F51860">
            <w:pPr>
              <w:jc w:val="both"/>
              <w:rPr>
                <w:b/>
                <w:bCs/>
                <w:sz w:val="24"/>
                <w:szCs w:val="24"/>
              </w:rPr>
            </w:pPr>
            <w:r>
              <w:rPr>
                <w:b/>
                <w:bCs/>
                <w:sz w:val="24"/>
                <w:szCs w:val="24"/>
              </w:rPr>
              <w:t>Particulars</w:t>
            </w:r>
          </w:p>
        </w:tc>
        <w:tc>
          <w:tcPr>
            <w:tcW w:w="1701" w:type="dxa"/>
          </w:tcPr>
          <w:p w14:paraId="6287610A" w14:textId="77777777" w:rsidR="00B0673F" w:rsidRPr="00CF6B50" w:rsidRDefault="00F51860" w:rsidP="00F51860">
            <w:pPr>
              <w:jc w:val="center"/>
              <w:rPr>
                <w:b/>
                <w:bCs/>
                <w:sz w:val="24"/>
                <w:szCs w:val="24"/>
              </w:rPr>
            </w:pPr>
            <w:r>
              <w:rPr>
                <w:b/>
                <w:bCs/>
                <w:sz w:val="24"/>
                <w:szCs w:val="24"/>
              </w:rPr>
              <w:t>Cost</w:t>
            </w:r>
            <w:r w:rsidR="00A21E7C">
              <w:rPr>
                <w:b/>
                <w:bCs/>
                <w:sz w:val="24"/>
                <w:szCs w:val="24"/>
              </w:rPr>
              <w:t xml:space="preserve"> (</w:t>
            </w:r>
            <w:r w:rsidR="001F37DF">
              <w:rPr>
                <w:b/>
                <w:bCs/>
                <w:sz w:val="24"/>
                <w:szCs w:val="24"/>
              </w:rPr>
              <w:t>%) *</w:t>
            </w:r>
          </w:p>
        </w:tc>
      </w:tr>
      <w:tr w:rsidR="00B0673F" w14:paraId="27795D12" w14:textId="77777777" w:rsidTr="00ED3702">
        <w:tc>
          <w:tcPr>
            <w:tcW w:w="6946" w:type="dxa"/>
          </w:tcPr>
          <w:p w14:paraId="40BDD73F" w14:textId="77777777" w:rsidR="00B0673F" w:rsidRDefault="00412E5D" w:rsidP="00FA7F76">
            <w:pPr>
              <w:jc w:val="both"/>
              <w:rPr>
                <w:sz w:val="24"/>
                <w:szCs w:val="24"/>
              </w:rPr>
            </w:pPr>
            <w:r>
              <w:rPr>
                <w:sz w:val="24"/>
                <w:szCs w:val="24"/>
              </w:rPr>
              <w:t xml:space="preserve">Weighted Average </w:t>
            </w:r>
            <w:r w:rsidR="00F51860">
              <w:rPr>
                <w:sz w:val="24"/>
                <w:szCs w:val="24"/>
              </w:rPr>
              <w:t>C</w:t>
            </w:r>
            <w:r w:rsidR="00F51860" w:rsidRPr="00B0673F">
              <w:rPr>
                <w:sz w:val="24"/>
                <w:szCs w:val="24"/>
              </w:rPr>
              <w:t xml:space="preserve">ost of </w:t>
            </w:r>
            <w:r w:rsidR="00F51860">
              <w:rPr>
                <w:sz w:val="24"/>
                <w:szCs w:val="24"/>
              </w:rPr>
              <w:t>Funds</w:t>
            </w:r>
          </w:p>
        </w:tc>
        <w:tc>
          <w:tcPr>
            <w:tcW w:w="1701" w:type="dxa"/>
          </w:tcPr>
          <w:p w14:paraId="4DF768B9" w14:textId="77777777" w:rsidR="00B0673F" w:rsidRDefault="00B0673F" w:rsidP="00F51860">
            <w:pPr>
              <w:jc w:val="center"/>
              <w:rPr>
                <w:sz w:val="24"/>
                <w:szCs w:val="24"/>
              </w:rPr>
            </w:pPr>
            <w:r>
              <w:rPr>
                <w:sz w:val="24"/>
                <w:szCs w:val="24"/>
              </w:rPr>
              <w:t>xx%</w:t>
            </w:r>
          </w:p>
        </w:tc>
      </w:tr>
      <w:tr w:rsidR="00B0673F" w14:paraId="5E9DD84F" w14:textId="77777777" w:rsidTr="00ED3702">
        <w:tc>
          <w:tcPr>
            <w:tcW w:w="6946" w:type="dxa"/>
          </w:tcPr>
          <w:p w14:paraId="75F44989" w14:textId="77777777" w:rsidR="00B0673F" w:rsidRDefault="00290471" w:rsidP="00FA7F76">
            <w:pPr>
              <w:jc w:val="both"/>
              <w:rPr>
                <w:sz w:val="24"/>
                <w:szCs w:val="24"/>
              </w:rPr>
            </w:pPr>
            <w:r>
              <w:rPr>
                <w:sz w:val="24"/>
                <w:szCs w:val="24"/>
              </w:rPr>
              <w:t>Negative Carry</w:t>
            </w:r>
            <w:r w:rsidR="009E3A39">
              <w:rPr>
                <w:sz w:val="24"/>
                <w:szCs w:val="24"/>
              </w:rPr>
              <w:t>-</w:t>
            </w:r>
            <w:r>
              <w:rPr>
                <w:sz w:val="24"/>
                <w:szCs w:val="24"/>
              </w:rPr>
              <w:t xml:space="preserve">on </w:t>
            </w:r>
            <w:r w:rsidR="00F51860">
              <w:rPr>
                <w:sz w:val="24"/>
                <w:szCs w:val="24"/>
              </w:rPr>
              <w:t>L</w:t>
            </w:r>
            <w:r w:rsidR="00F51860" w:rsidRPr="00F51860">
              <w:rPr>
                <w:sz w:val="24"/>
                <w:szCs w:val="24"/>
              </w:rPr>
              <w:t xml:space="preserve">iquidity </w:t>
            </w:r>
            <w:r w:rsidR="00F51860">
              <w:rPr>
                <w:sz w:val="24"/>
                <w:szCs w:val="24"/>
              </w:rPr>
              <w:t>B</w:t>
            </w:r>
            <w:r w:rsidR="00F51860" w:rsidRPr="00F51860">
              <w:rPr>
                <w:sz w:val="24"/>
                <w:szCs w:val="24"/>
              </w:rPr>
              <w:t>uffer</w:t>
            </w:r>
            <w:r>
              <w:rPr>
                <w:sz w:val="24"/>
                <w:szCs w:val="24"/>
              </w:rPr>
              <w:t xml:space="preserve"> </w:t>
            </w:r>
          </w:p>
        </w:tc>
        <w:tc>
          <w:tcPr>
            <w:tcW w:w="1701" w:type="dxa"/>
          </w:tcPr>
          <w:p w14:paraId="37B61058" w14:textId="77777777" w:rsidR="00B0673F" w:rsidRDefault="00B0673F" w:rsidP="00F51860">
            <w:pPr>
              <w:jc w:val="center"/>
              <w:rPr>
                <w:sz w:val="24"/>
                <w:szCs w:val="24"/>
              </w:rPr>
            </w:pPr>
            <w:r>
              <w:rPr>
                <w:sz w:val="24"/>
                <w:szCs w:val="24"/>
              </w:rPr>
              <w:t>xx%</w:t>
            </w:r>
          </w:p>
        </w:tc>
      </w:tr>
      <w:tr w:rsidR="00B0673F" w14:paraId="7912F096" w14:textId="77777777" w:rsidTr="00ED3702">
        <w:tc>
          <w:tcPr>
            <w:tcW w:w="6946" w:type="dxa"/>
          </w:tcPr>
          <w:p w14:paraId="68802E75" w14:textId="77777777" w:rsidR="00B0673F" w:rsidRPr="00F51860" w:rsidRDefault="00F51860" w:rsidP="00FA7F76">
            <w:pPr>
              <w:jc w:val="both"/>
              <w:rPr>
                <w:sz w:val="24"/>
                <w:szCs w:val="24"/>
              </w:rPr>
            </w:pPr>
            <w:r w:rsidRPr="00F51860">
              <w:rPr>
                <w:sz w:val="24"/>
                <w:szCs w:val="24"/>
              </w:rPr>
              <w:t>Statutory Costs</w:t>
            </w:r>
          </w:p>
        </w:tc>
        <w:tc>
          <w:tcPr>
            <w:tcW w:w="1701" w:type="dxa"/>
          </w:tcPr>
          <w:p w14:paraId="18831D97" w14:textId="77777777" w:rsidR="00B0673F" w:rsidRPr="00F51860" w:rsidRDefault="00F51860" w:rsidP="00F51860">
            <w:pPr>
              <w:jc w:val="center"/>
              <w:rPr>
                <w:sz w:val="24"/>
                <w:szCs w:val="24"/>
              </w:rPr>
            </w:pPr>
            <w:r w:rsidRPr="00F51860">
              <w:rPr>
                <w:sz w:val="24"/>
                <w:szCs w:val="24"/>
              </w:rPr>
              <w:t>xx%</w:t>
            </w:r>
          </w:p>
        </w:tc>
      </w:tr>
      <w:tr w:rsidR="00B0673F" w14:paraId="29245A3E" w14:textId="77777777" w:rsidTr="00ED3702">
        <w:tc>
          <w:tcPr>
            <w:tcW w:w="6946" w:type="dxa"/>
          </w:tcPr>
          <w:p w14:paraId="66A49650" w14:textId="77777777" w:rsidR="00B0673F" w:rsidRPr="00F51860" w:rsidRDefault="00F51860" w:rsidP="00FA7F76">
            <w:pPr>
              <w:jc w:val="both"/>
              <w:rPr>
                <w:sz w:val="24"/>
                <w:szCs w:val="24"/>
              </w:rPr>
            </w:pPr>
            <w:r w:rsidRPr="00F51860">
              <w:rPr>
                <w:sz w:val="24"/>
                <w:szCs w:val="24"/>
              </w:rPr>
              <w:t>ALM Costs</w:t>
            </w:r>
            <w:r w:rsidR="00290471">
              <w:rPr>
                <w:sz w:val="24"/>
                <w:szCs w:val="24"/>
              </w:rPr>
              <w:t xml:space="preserve"> (incl impact of rate resets on floating rate liabilities)</w:t>
            </w:r>
          </w:p>
        </w:tc>
        <w:tc>
          <w:tcPr>
            <w:tcW w:w="1701" w:type="dxa"/>
          </w:tcPr>
          <w:p w14:paraId="53276396" w14:textId="77777777" w:rsidR="00B0673F" w:rsidRPr="00F51860" w:rsidRDefault="00B0673F" w:rsidP="00F51860">
            <w:pPr>
              <w:jc w:val="center"/>
              <w:rPr>
                <w:sz w:val="24"/>
                <w:szCs w:val="24"/>
              </w:rPr>
            </w:pPr>
            <w:r w:rsidRPr="00F51860">
              <w:rPr>
                <w:sz w:val="24"/>
                <w:szCs w:val="24"/>
              </w:rPr>
              <w:t>xx%</w:t>
            </w:r>
          </w:p>
        </w:tc>
      </w:tr>
      <w:tr w:rsidR="00B0673F" w14:paraId="221E749D" w14:textId="77777777" w:rsidTr="00ED3702">
        <w:tc>
          <w:tcPr>
            <w:tcW w:w="6946" w:type="dxa"/>
          </w:tcPr>
          <w:p w14:paraId="72A6D3D0" w14:textId="77777777" w:rsidR="00B0673F" w:rsidRDefault="00F51860" w:rsidP="00FA7F76">
            <w:pPr>
              <w:jc w:val="both"/>
              <w:rPr>
                <w:sz w:val="24"/>
                <w:szCs w:val="24"/>
              </w:rPr>
            </w:pPr>
            <w:r>
              <w:rPr>
                <w:sz w:val="24"/>
                <w:szCs w:val="24"/>
              </w:rPr>
              <w:t>Ratings, Compliance</w:t>
            </w:r>
            <w:r w:rsidR="00290471">
              <w:rPr>
                <w:sz w:val="24"/>
                <w:szCs w:val="24"/>
              </w:rPr>
              <w:t xml:space="preserve"> &amp; other</w:t>
            </w:r>
            <w:r>
              <w:rPr>
                <w:sz w:val="24"/>
                <w:szCs w:val="24"/>
              </w:rPr>
              <w:t xml:space="preserve"> Sourcing Overheads</w:t>
            </w:r>
          </w:p>
        </w:tc>
        <w:tc>
          <w:tcPr>
            <w:tcW w:w="1701" w:type="dxa"/>
          </w:tcPr>
          <w:p w14:paraId="0518C3DC" w14:textId="77777777" w:rsidR="00B0673F" w:rsidRDefault="00F51860" w:rsidP="00F51860">
            <w:pPr>
              <w:jc w:val="center"/>
              <w:rPr>
                <w:sz w:val="24"/>
                <w:szCs w:val="24"/>
              </w:rPr>
            </w:pPr>
            <w:r>
              <w:rPr>
                <w:sz w:val="24"/>
                <w:szCs w:val="24"/>
              </w:rPr>
              <w:t>xx%</w:t>
            </w:r>
          </w:p>
        </w:tc>
      </w:tr>
      <w:tr w:rsidR="00B0673F" w14:paraId="0DD90214" w14:textId="77777777" w:rsidTr="00ED3702">
        <w:tc>
          <w:tcPr>
            <w:tcW w:w="6946" w:type="dxa"/>
          </w:tcPr>
          <w:p w14:paraId="056C6C87" w14:textId="77777777" w:rsidR="00F51860" w:rsidRDefault="00F51860" w:rsidP="00FA7F76">
            <w:pPr>
              <w:jc w:val="both"/>
              <w:rPr>
                <w:b/>
                <w:bCs/>
                <w:sz w:val="24"/>
                <w:szCs w:val="24"/>
              </w:rPr>
            </w:pPr>
            <w:r>
              <w:rPr>
                <w:b/>
                <w:bCs/>
                <w:sz w:val="24"/>
                <w:szCs w:val="24"/>
              </w:rPr>
              <w:t xml:space="preserve">Cost of Funds as per FTP Framework </w:t>
            </w:r>
          </w:p>
          <w:p w14:paraId="2B8C2114" w14:textId="77777777" w:rsidR="00B0673F" w:rsidRPr="00F51860" w:rsidRDefault="00F51860" w:rsidP="00FA7F76">
            <w:pPr>
              <w:jc w:val="both"/>
              <w:rPr>
                <w:b/>
                <w:bCs/>
                <w:i/>
                <w:iCs/>
                <w:sz w:val="24"/>
                <w:szCs w:val="24"/>
              </w:rPr>
            </w:pPr>
            <w:r w:rsidRPr="00F51860">
              <w:rPr>
                <w:b/>
                <w:bCs/>
                <w:i/>
                <w:iCs/>
                <w:sz w:val="24"/>
                <w:szCs w:val="24"/>
              </w:rPr>
              <w:t xml:space="preserve">(sum of all the above) </w:t>
            </w:r>
          </w:p>
        </w:tc>
        <w:tc>
          <w:tcPr>
            <w:tcW w:w="1701" w:type="dxa"/>
          </w:tcPr>
          <w:p w14:paraId="39DDD249" w14:textId="77777777" w:rsidR="00B0673F" w:rsidRPr="00C20E1B" w:rsidRDefault="00F51860" w:rsidP="00F51860">
            <w:pPr>
              <w:jc w:val="center"/>
              <w:rPr>
                <w:b/>
                <w:bCs/>
                <w:sz w:val="24"/>
                <w:szCs w:val="24"/>
              </w:rPr>
            </w:pPr>
            <w:r>
              <w:rPr>
                <w:b/>
                <w:bCs/>
                <w:sz w:val="24"/>
                <w:szCs w:val="24"/>
              </w:rPr>
              <w:t>xx%</w:t>
            </w:r>
          </w:p>
        </w:tc>
      </w:tr>
    </w:tbl>
    <w:p w14:paraId="59317EA6" w14:textId="77777777" w:rsidR="00B0673F" w:rsidRPr="00ED3702" w:rsidRDefault="00ED3702" w:rsidP="00ED3702">
      <w:pPr>
        <w:spacing w:line="240" w:lineRule="auto"/>
        <w:jc w:val="both"/>
        <w:rPr>
          <w:i/>
          <w:iCs/>
          <w:sz w:val="24"/>
          <w:szCs w:val="24"/>
        </w:rPr>
      </w:pPr>
      <w:r>
        <w:rPr>
          <w:i/>
          <w:iCs/>
          <w:sz w:val="24"/>
          <w:szCs w:val="24"/>
        </w:rPr>
        <w:t xml:space="preserve">                </w:t>
      </w:r>
      <w:r w:rsidR="00F51860" w:rsidRPr="00ED3702">
        <w:rPr>
          <w:i/>
          <w:iCs/>
          <w:sz w:val="24"/>
          <w:szCs w:val="24"/>
        </w:rPr>
        <w:t xml:space="preserve">* </w:t>
      </w:r>
      <w:r w:rsidR="001F37DF" w:rsidRPr="00ED3702">
        <w:rPr>
          <w:i/>
          <w:iCs/>
          <w:sz w:val="24"/>
          <w:szCs w:val="24"/>
        </w:rPr>
        <w:t>To</w:t>
      </w:r>
      <w:r w:rsidR="00A21E7C" w:rsidRPr="00ED3702">
        <w:rPr>
          <w:i/>
          <w:iCs/>
          <w:sz w:val="24"/>
          <w:szCs w:val="24"/>
        </w:rPr>
        <w:t xml:space="preserve"> be </w:t>
      </w:r>
      <w:r w:rsidR="00F51860" w:rsidRPr="00ED3702">
        <w:rPr>
          <w:i/>
          <w:iCs/>
          <w:sz w:val="24"/>
          <w:szCs w:val="24"/>
        </w:rPr>
        <w:t xml:space="preserve">provided for </w:t>
      </w:r>
      <w:r w:rsidR="00A21E7C" w:rsidRPr="00ED3702">
        <w:rPr>
          <w:i/>
          <w:iCs/>
          <w:sz w:val="24"/>
          <w:szCs w:val="24"/>
        </w:rPr>
        <w:t xml:space="preserve">different </w:t>
      </w:r>
      <w:r w:rsidR="00F51860" w:rsidRPr="00ED3702">
        <w:rPr>
          <w:i/>
          <w:iCs/>
          <w:sz w:val="24"/>
          <w:szCs w:val="24"/>
        </w:rPr>
        <w:t xml:space="preserve">business </w:t>
      </w:r>
      <w:r w:rsidR="001F37DF" w:rsidRPr="00ED3702">
        <w:rPr>
          <w:i/>
          <w:iCs/>
          <w:sz w:val="24"/>
          <w:szCs w:val="24"/>
        </w:rPr>
        <w:t>segments</w:t>
      </w:r>
      <w:r w:rsidR="0045631B" w:rsidRPr="00ED3702">
        <w:rPr>
          <w:i/>
          <w:iCs/>
          <w:sz w:val="24"/>
          <w:szCs w:val="24"/>
        </w:rPr>
        <w:t xml:space="preserve"> </w:t>
      </w:r>
      <w:r w:rsidR="00F51860" w:rsidRPr="00ED3702">
        <w:rPr>
          <w:i/>
          <w:iCs/>
          <w:sz w:val="24"/>
          <w:szCs w:val="24"/>
        </w:rPr>
        <w:t xml:space="preserve">across different tenors </w:t>
      </w:r>
    </w:p>
    <w:p w14:paraId="5AD487C9" w14:textId="77777777" w:rsidR="00A21E7C" w:rsidRDefault="00A21E7C" w:rsidP="00A21E7C">
      <w:pPr>
        <w:pStyle w:val="ListParagraph"/>
        <w:ind w:left="567"/>
        <w:rPr>
          <w:b/>
          <w:bCs/>
          <w:sz w:val="24"/>
          <w:szCs w:val="24"/>
        </w:rPr>
      </w:pPr>
    </w:p>
    <w:p w14:paraId="266A0FED" w14:textId="77777777" w:rsidR="00290471" w:rsidRDefault="00290471" w:rsidP="00290471">
      <w:pPr>
        <w:pStyle w:val="ListParagraph"/>
        <w:numPr>
          <w:ilvl w:val="0"/>
          <w:numId w:val="19"/>
        </w:numPr>
        <w:rPr>
          <w:sz w:val="24"/>
          <w:szCs w:val="24"/>
        </w:rPr>
      </w:pPr>
      <w:r>
        <w:rPr>
          <w:sz w:val="24"/>
          <w:szCs w:val="24"/>
        </w:rPr>
        <w:t>FTP for floating rate products is also calculated</w:t>
      </w:r>
      <w:r w:rsidR="008520DC">
        <w:rPr>
          <w:sz w:val="24"/>
          <w:szCs w:val="24"/>
        </w:rPr>
        <w:t xml:space="preserve"> </w:t>
      </w:r>
      <w:r w:rsidR="001F37DF">
        <w:rPr>
          <w:sz w:val="24"/>
          <w:szCs w:val="24"/>
        </w:rPr>
        <w:t>based on</w:t>
      </w:r>
      <w:r w:rsidR="008520DC">
        <w:rPr>
          <w:sz w:val="24"/>
          <w:szCs w:val="24"/>
        </w:rPr>
        <w:t xml:space="preserve"> the spread over benchmarks using the above framework. </w:t>
      </w:r>
      <w:r w:rsidR="00C32B61">
        <w:rPr>
          <w:sz w:val="24"/>
          <w:szCs w:val="24"/>
        </w:rPr>
        <w:t xml:space="preserve">An illustrative list of such </w:t>
      </w:r>
      <w:r w:rsidR="008520DC">
        <w:rPr>
          <w:sz w:val="24"/>
          <w:szCs w:val="24"/>
        </w:rPr>
        <w:t xml:space="preserve">benchmarks </w:t>
      </w:r>
      <w:r w:rsidR="00A70A34">
        <w:rPr>
          <w:sz w:val="24"/>
          <w:szCs w:val="24"/>
        </w:rPr>
        <w:t xml:space="preserve">is as </w:t>
      </w:r>
      <w:r w:rsidR="00EE650C">
        <w:rPr>
          <w:sz w:val="24"/>
          <w:szCs w:val="24"/>
        </w:rPr>
        <w:t>mentioned below</w:t>
      </w:r>
      <w:r w:rsidR="008520DC">
        <w:rPr>
          <w:sz w:val="24"/>
          <w:szCs w:val="24"/>
        </w:rPr>
        <w:t>:</w:t>
      </w:r>
    </w:p>
    <w:p w14:paraId="4DF1ABC6" w14:textId="77777777" w:rsidR="008520DC" w:rsidRDefault="008520DC" w:rsidP="003E58C4">
      <w:pPr>
        <w:pStyle w:val="ListParagraph"/>
        <w:numPr>
          <w:ilvl w:val="1"/>
          <w:numId w:val="35"/>
        </w:numPr>
        <w:rPr>
          <w:sz w:val="24"/>
          <w:szCs w:val="24"/>
        </w:rPr>
      </w:pPr>
      <w:r>
        <w:rPr>
          <w:sz w:val="24"/>
          <w:szCs w:val="24"/>
        </w:rPr>
        <w:t>RBI Repo Rate</w:t>
      </w:r>
    </w:p>
    <w:p w14:paraId="4B579901" w14:textId="77777777" w:rsidR="008520DC" w:rsidRDefault="00A70A34" w:rsidP="003E58C4">
      <w:pPr>
        <w:pStyle w:val="ListParagraph"/>
        <w:numPr>
          <w:ilvl w:val="1"/>
          <w:numId w:val="35"/>
        </w:numPr>
        <w:rPr>
          <w:sz w:val="24"/>
          <w:szCs w:val="24"/>
        </w:rPr>
      </w:pPr>
      <w:r>
        <w:rPr>
          <w:sz w:val="24"/>
          <w:szCs w:val="24"/>
        </w:rPr>
        <w:t>3-</w:t>
      </w:r>
      <w:r w:rsidR="008520DC">
        <w:rPr>
          <w:sz w:val="24"/>
          <w:szCs w:val="24"/>
        </w:rPr>
        <w:t>month T Bill rate</w:t>
      </w:r>
    </w:p>
    <w:p w14:paraId="7A959F8A" w14:textId="77777777" w:rsidR="008520DC" w:rsidRDefault="008520DC" w:rsidP="003E58C4">
      <w:pPr>
        <w:pStyle w:val="ListParagraph"/>
        <w:numPr>
          <w:ilvl w:val="1"/>
          <w:numId w:val="35"/>
        </w:numPr>
        <w:rPr>
          <w:sz w:val="24"/>
          <w:szCs w:val="24"/>
        </w:rPr>
      </w:pPr>
      <w:r>
        <w:rPr>
          <w:sz w:val="24"/>
          <w:szCs w:val="24"/>
        </w:rPr>
        <w:t xml:space="preserve">SBI </w:t>
      </w:r>
      <w:r w:rsidR="00A70A34">
        <w:rPr>
          <w:sz w:val="24"/>
          <w:szCs w:val="24"/>
        </w:rPr>
        <w:t>3-</w:t>
      </w:r>
      <w:r>
        <w:rPr>
          <w:sz w:val="24"/>
          <w:szCs w:val="24"/>
        </w:rPr>
        <w:t>month MCLR</w:t>
      </w:r>
    </w:p>
    <w:p w14:paraId="59166BB7" w14:textId="77777777" w:rsidR="008520DC" w:rsidRDefault="008520DC" w:rsidP="003E58C4">
      <w:pPr>
        <w:pStyle w:val="ListParagraph"/>
        <w:numPr>
          <w:ilvl w:val="1"/>
          <w:numId w:val="35"/>
        </w:numPr>
        <w:jc w:val="both"/>
        <w:rPr>
          <w:sz w:val="24"/>
          <w:szCs w:val="24"/>
        </w:rPr>
      </w:pPr>
      <w:r>
        <w:rPr>
          <w:sz w:val="24"/>
          <w:szCs w:val="24"/>
        </w:rPr>
        <w:t xml:space="preserve">SBI </w:t>
      </w:r>
      <w:r w:rsidR="00A70A34">
        <w:rPr>
          <w:sz w:val="24"/>
          <w:szCs w:val="24"/>
        </w:rPr>
        <w:t>1-</w:t>
      </w:r>
      <w:r>
        <w:rPr>
          <w:sz w:val="24"/>
          <w:szCs w:val="24"/>
        </w:rPr>
        <w:t>year MCLR</w:t>
      </w:r>
    </w:p>
    <w:p w14:paraId="4C2F2B9D" w14:textId="77777777" w:rsidR="000B6AF2" w:rsidRPr="00E2468C" w:rsidRDefault="000B6AF2" w:rsidP="003E58C4">
      <w:pPr>
        <w:pStyle w:val="ListParagraph"/>
        <w:numPr>
          <w:ilvl w:val="1"/>
          <w:numId w:val="35"/>
        </w:numPr>
        <w:jc w:val="both"/>
        <w:rPr>
          <w:sz w:val="24"/>
          <w:szCs w:val="24"/>
        </w:rPr>
      </w:pPr>
      <w:r w:rsidRPr="00E2468C">
        <w:rPr>
          <w:sz w:val="24"/>
          <w:szCs w:val="24"/>
        </w:rPr>
        <w:t>Mahindra Finance Internal Reference Rate (MFIRR) / Internal Benchmark rate</w:t>
      </w:r>
    </w:p>
    <w:p w14:paraId="48A90199" w14:textId="77777777" w:rsidR="000B6AF2" w:rsidRDefault="000B6AF2">
      <w:pPr>
        <w:pStyle w:val="ListParagraph"/>
        <w:ind w:left="2007"/>
        <w:jc w:val="both"/>
        <w:rPr>
          <w:sz w:val="24"/>
          <w:szCs w:val="24"/>
        </w:rPr>
      </w:pPr>
    </w:p>
    <w:p w14:paraId="16AF2313" w14:textId="77777777" w:rsidR="00434664" w:rsidRPr="00E10269" w:rsidRDefault="00434664" w:rsidP="00D01585">
      <w:pPr>
        <w:ind w:left="720"/>
        <w:jc w:val="both"/>
        <w:rPr>
          <w:sz w:val="24"/>
          <w:szCs w:val="24"/>
        </w:rPr>
      </w:pPr>
      <w:r w:rsidRPr="00E10269">
        <w:rPr>
          <w:sz w:val="24"/>
          <w:szCs w:val="24"/>
          <w:lang w:val="en-IN"/>
        </w:rPr>
        <w:t>This list may get expanded from time to time based on practices followed by other market participants</w:t>
      </w:r>
      <w:r w:rsidR="00D01585">
        <w:rPr>
          <w:sz w:val="24"/>
          <w:szCs w:val="24"/>
          <w:lang w:val="en-IN"/>
        </w:rPr>
        <w:t>.</w:t>
      </w:r>
    </w:p>
    <w:p w14:paraId="57E1573C" w14:textId="77777777" w:rsidR="000B6AF2" w:rsidRPr="00D01585" w:rsidRDefault="000B6AF2" w:rsidP="00D01585">
      <w:pPr>
        <w:pStyle w:val="ListParagraph"/>
        <w:jc w:val="both"/>
        <w:rPr>
          <w:sz w:val="24"/>
          <w:szCs w:val="24"/>
          <w:lang w:val="en-IN"/>
        </w:rPr>
      </w:pPr>
      <w:r w:rsidRPr="00D01585">
        <w:rPr>
          <w:sz w:val="24"/>
          <w:szCs w:val="24"/>
        </w:rPr>
        <w:t>Floating rate loans of SME may also be linked to an internal benchmark rate which can be termed as ‘Mahindra Finance Internal Reference Rate (MFIRR)’. The Reference Rate shall be monitored by Treasury team on monthly basis. The methodology of arriving at the MFIRR shall be published and approved by ALMCO basis recommendation by MMFSL Treasury and will be revisited by ALMCO annually. Post approval, the same shall be published/mentioned on MMFSL’s web site</w:t>
      </w:r>
      <w:r w:rsidR="003E2FC1">
        <w:rPr>
          <w:sz w:val="24"/>
          <w:szCs w:val="24"/>
        </w:rPr>
        <w:t xml:space="preserve"> by business team</w:t>
      </w:r>
      <w:r w:rsidRPr="00D01585">
        <w:rPr>
          <w:sz w:val="24"/>
          <w:szCs w:val="24"/>
        </w:rPr>
        <w:t>.</w:t>
      </w:r>
    </w:p>
    <w:p w14:paraId="7ADC6FA3" w14:textId="77777777" w:rsidR="000B6AF2" w:rsidRDefault="000B6AF2" w:rsidP="000B6AF2">
      <w:pPr>
        <w:pStyle w:val="ListParagraph"/>
        <w:ind w:left="567"/>
        <w:rPr>
          <w:b/>
          <w:bCs/>
          <w:sz w:val="24"/>
          <w:szCs w:val="24"/>
        </w:rPr>
      </w:pPr>
    </w:p>
    <w:p w14:paraId="75B3AE0F" w14:textId="77777777" w:rsidR="00D01585" w:rsidRDefault="00D01585" w:rsidP="000B6AF2">
      <w:pPr>
        <w:pStyle w:val="ListParagraph"/>
        <w:ind w:left="567"/>
        <w:rPr>
          <w:b/>
          <w:bCs/>
          <w:sz w:val="24"/>
          <w:szCs w:val="24"/>
        </w:rPr>
      </w:pPr>
    </w:p>
    <w:p w14:paraId="09295A62" w14:textId="77777777" w:rsidR="00A21E7C" w:rsidRPr="00F51860" w:rsidRDefault="00A21E7C" w:rsidP="00A21E7C">
      <w:pPr>
        <w:pStyle w:val="ListParagraph"/>
        <w:numPr>
          <w:ilvl w:val="0"/>
          <w:numId w:val="13"/>
        </w:numPr>
        <w:ind w:left="567" w:hanging="567"/>
        <w:rPr>
          <w:b/>
          <w:bCs/>
          <w:sz w:val="24"/>
          <w:szCs w:val="24"/>
        </w:rPr>
      </w:pPr>
      <w:r>
        <w:rPr>
          <w:b/>
          <w:bCs/>
          <w:sz w:val="24"/>
          <w:szCs w:val="24"/>
        </w:rPr>
        <w:t>Leverage Impact</w:t>
      </w:r>
    </w:p>
    <w:p w14:paraId="127D087E" w14:textId="77777777" w:rsidR="006968BB" w:rsidRDefault="00A21E7C" w:rsidP="00572878">
      <w:pPr>
        <w:pStyle w:val="ListParagraph"/>
        <w:numPr>
          <w:ilvl w:val="0"/>
          <w:numId w:val="14"/>
        </w:numPr>
        <w:jc w:val="both"/>
        <w:rPr>
          <w:sz w:val="24"/>
          <w:szCs w:val="24"/>
        </w:rPr>
      </w:pPr>
      <w:r w:rsidRPr="00A21E7C">
        <w:rPr>
          <w:sz w:val="24"/>
          <w:szCs w:val="24"/>
        </w:rPr>
        <w:t xml:space="preserve">The </w:t>
      </w:r>
      <w:r>
        <w:rPr>
          <w:sz w:val="24"/>
          <w:szCs w:val="24"/>
        </w:rPr>
        <w:t>leverage (Debt/equity ratio) of the immediate</w:t>
      </w:r>
      <w:r w:rsidR="00CA6791">
        <w:rPr>
          <w:sz w:val="24"/>
          <w:szCs w:val="24"/>
        </w:rPr>
        <w:t>ly</w:t>
      </w:r>
      <w:r>
        <w:rPr>
          <w:sz w:val="24"/>
          <w:szCs w:val="24"/>
        </w:rPr>
        <w:t xml:space="preserve"> preceding quarter as last disclosed in the public domain is adjusted from the cost of funds as per the FTP framework to arr</w:t>
      </w:r>
      <w:r w:rsidR="00B81D28">
        <w:rPr>
          <w:sz w:val="24"/>
          <w:szCs w:val="24"/>
        </w:rPr>
        <w:t>i</w:t>
      </w:r>
      <w:r>
        <w:rPr>
          <w:sz w:val="24"/>
          <w:szCs w:val="24"/>
        </w:rPr>
        <w:t>ve at the effective cost of Funds.</w:t>
      </w:r>
    </w:p>
    <w:p w14:paraId="61BB87AA" w14:textId="77777777" w:rsidR="001A444F" w:rsidRDefault="001A444F" w:rsidP="001A444F">
      <w:pPr>
        <w:jc w:val="both"/>
        <w:rPr>
          <w:sz w:val="24"/>
          <w:szCs w:val="24"/>
        </w:rPr>
      </w:pPr>
    </w:p>
    <w:p w14:paraId="72505FF1" w14:textId="77777777" w:rsidR="001A444F" w:rsidRDefault="001A444F" w:rsidP="001A444F">
      <w:pPr>
        <w:jc w:val="both"/>
        <w:rPr>
          <w:sz w:val="24"/>
          <w:szCs w:val="24"/>
        </w:rPr>
      </w:pPr>
    </w:p>
    <w:p w14:paraId="107DA2EE" w14:textId="77777777" w:rsidR="001A444F" w:rsidRPr="001A444F" w:rsidRDefault="001A444F" w:rsidP="001A444F">
      <w:pPr>
        <w:jc w:val="both"/>
        <w:rPr>
          <w:sz w:val="24"/>
          <w:szCs w:val="24"/>
        </w:rPr>
      </w:pPr>
    </w:p>
    <w:p w14:paraId="3EE03A09" w14:textId="77777777" w:rsidR="00412E5D" w:rsidRDefault="00412E5D" w:rsidP="00412E5D">
      <w:pPr>
        <w:pStyle w:val="ListParagraph"/>
        <w:numPr>
          <w:ilvl w:val="0"/>
          <w:numId w:val="13"/>
        </w:numPr>
        <w:ind w:left="567" w:hanging="567"/>
        <w:jc w:val="both"/>
        <w:rPr>
          <w:b/>
          <w:bCs/>
          <w:sz w:val="24"/>
          <w:szCs w:val="24"/>
        </w:rPr>
      </w:pPr>
      <w:r w:rsidRPr="00412E5D">
        <w:rPr>
          <w:b/>
          <w:bCs/>
          <w:sz w:val="24"/>
          <w:szCs w:val="24"/>
        </w:rPr>
        <w:lastRenderedPageBreak/>
        <w:t>Opex Costs</w:t>
      </w:r>
    </w:p>
    <w:p w14:paraId="3B1F403D" w14:textId="77777777" w:rsidR="00412E5D" w:rsidRDefault="00412E5D" w:rsidP="003E58C4">
      <w:pPr>
        <w:pStyle w:val="ListParagraph"/>
        <w:numPr>
          <w:ilvl w:val="0"/>
          <w:numId w:val="14"/>
        </w:numPr>
        <w:jc w:val="both"/>
        <w:rPr>
          <w:sz w:val="24"/>
          <w:szCs w:val="24"/>
        </w:rPr>
      </w:pPr>
      <w:r w:rsidRPr="00412E5D">
        <w:rPr>
          <w:sz w:val="24"/>
          <w:szCs w:val="24"/>
        </w:rPr>
        <w:t xml:space="preserve">It includes </w:t>
      </w:r>
      <w:r>
        <w:rPr>
          <w:sz w:val="24"/>
          <w:szCs w:val="24"/>
        </w:rPr>
        <w:t xml:space="preserve">the expected opex costs including </w:t>
      </w:r>
      <w:r w:rsidRPr="00412E5D">
        <w:rPr>
          <w:sz w:val="24"/>
          <w:szCs w:val="24"/>
        </w:rPr>
        <w:t xml:space="preserve">employee expenses, branch related fixed and variable costs, operations cost, </w:t>
      </w:r>
      <w:r w:rsidR="00737E36">
        <w:rPr>
          <w:sz w:val="24"/>
          <w:szCs w:val="24"/>
        </w:rPr>
        <w:t xml:space="preserve">manpower </w:t>
      </w:r>
      <w:r w:rsidRPr="00412E5D">
        <w:rPr>
          <w:sz w:val="24"/>
          <w:szCs w:val="24"/>
        </w:rPr>
        <w:t>expenses</w:t>
      </w:r>
      <w:r>
        <w:rPr>
          <w:sz w:val="24"/>
          <w:szCs w:val="24"/>
        </w:rPr>
        <w:t xml:space="preserve"> etc. based on the</w:t>
      </w:r>
      <w:r w:rsidR="00B81D28">
        <w:rPr>
          <w:sz w:val="24"/>
          <w:szCs w:val="24"/>
        </w:rPr>
        <w:t xml:space="preserve"> latest</w:t>
      </w:r>
      <w:r>
        <w:rPr>
          <w:sz w:val="24"/>
          <w:szCs w:val="24"/>
        </w:rPr>
        <w:t xml:space="preserve"> budget estimates (updated for revisions, if any).</w:t>
      </w:r>
    </w:p>
    <w:p w14:paraId="38F03D40" w14:textId="77777777" w:rsidR="003E58C4" w:rsidRPr="003E58C4" w:rsidRDefault="003E58C4" w:rsidP="003E58C4">
      <w:pPr>
        <w:pStyle w:val="ListParagraph"/>
        <w:ind w:left="927"/>
        <w:jc w:val="both"/>
        <w:rPr>
          <w:sz w:val="24"/>
          <w:szCs w:val="24"/>
        </w:rPr>
      </w:pPr>
    </w:p>
    <w:p w14:paraId="736A98F6" w14:textId="77777777" w:rsidR="00412E5D" w:rsidRPr="00412E5D" w:rsidRDefault="00412E5D" w:rsidP="00A21E7C">
      <w:pPr>
        <w:pStyle w:val="ListParagraph"/>
        <w:numPr>
          <w:ilvl w:val="0"/>
          <w:numId w:val="13"/>
        </w:numPr>
        <w:ind w:left="567" w:hanging="567"/>
        <w:rPr>
          <w:b/>
          <w:bCs/>
          <w:sz w:val="24"/>
          <w:szCs w:val="24"/>
        </w:rPr>
      </w:pPr>
      <w:r w:rsidRPr="00412E5D">
        <w:rPr>
          <w:b/>
          <w:bCs/>
          <w:sz w:val="24"/>
          <w:szCs w:val="24"/>
        </w:rPr>
        <w:t>Expected Credit Costs</w:t>
      </w:r>
    </w:p>
    <w:p w14:paraId="5B7B17F7" w14:textId="77777777" w:rsidR="00737E36" w:rsidRDefault="00737E36" w:rsidP="00ED3702">
      <w:pPr>
        <w:pStyle w:val="ListParagraph"/>
        <w:numPr>
          <w:ilvl w:val="0"/>
          <w:numId w:val="14"/>
        </w:numPr>
        <w:jc w:val="both"/>
        <w:rPr>
          <w:sz w:val="24"/>
          <w:szCs w:val="24"/>
        </w:rPr>
      </w:pPr>
      <w:r w:rsidRPr="00737E36">
        <w:rPr>
          <w:sz w:val="24"/>
          <w:szCs w:val="24"/>
        </w:rPr>
        <w:t xml:space="preserve">It includes the expected </w:t>
      </w:r>
      <w:r>
        <w:rPr>
          <w:sz w:val="24"/>
          <w:szCs w:val="24"/>
        </w:rPr>
        <w:t xml:space="preserve">credit costs </w:t>
      </w:r>
      <w:r w:rsidRPr="00737E36">
        <w:rPr>
          <w:sz w:val="24"/>
          <w:szCs w:val="24"/>
        </w:rPr>
        <w:t>based on the latest budget estimates (updated for revisions, if any).</w:t>
      </w:r>
    </w:p>
    <w:p w14:paraId="1C534FA6" w14:textId="77777777" w:rsidR="00ED3702" w:rsidRPr="00ED3702" w:rsidRDefault="00ED3702" w:rsidP="00ED3702">
      <w:pPr>
        <w:pStyle w:val="ListParagraph"/>
        <w:ind w:left="927"/>
        <w:jc w:val="both"/>
        <w:rPr>
          <w:sz w:val="24"/>
          <w:szCs w:val="24"/>
        </w:rPr>
      </w:pPr>
    </w:p>
    <w:p w14:paraId="432362E1" w14:textId="77777777" w:rsidR="00A21E7C" w:rsidRDefault="00A21E7C" w:rsidP="00A21E7C">
      <w:pPr>
        <w:pStyle w:val="ListParagraph"/>
        <w:numPr>
          <w:ilvl w:val="0"/>
          <w:numId w:val="13"/>
        </w:numPr>
        <w:ind w:left="567" w:hanging="567"/>
        <w:rPr>
          <w:b/>
          <w:bCs/>
          <w:sz w:val="24"/>
          <w:szCs w:val="24"/>
        </w:rPr>
      </w:pPr>
      <w:r>
        <w:rPr>
          <w:b/>
          <w:bCs/>
          <w:sz w:val="24"/>
          <w:szCs w:val="24"/>
        </w:rPr>
        <w:t xml:space="preserve">Expected </w:t>
      </w:r>
      <w:r w:rsidRPr="00A21E7C">
        <w:rPr>
          <w:b/>
          <w:bCs/>
          <w:sz w:val="24"/>
          <w:szCs w:val="24"/>
        </w:rPr>
        <w:t>Return on Assets</w:t>
      </w:r>
      <w:r>
        <w:rPr>
          <w:b/>
          <w:bCs/>
          <w:sz w:val="24"/>
          <w:szCs w:val="24"/>
        </w:rPr>
        <w:t xml:space="preserve"> (ROA)</w:t>
      </w:r>
    </w:p>
    <w:p w14:paraId="3F9527D5" w14:textId="77777777" w:rsidR="00A21E7C" w:rsidRPr="00430C15" w:rsidRDefault="00A21E7C" w:rsidP="00643CDC">
      <w:pPr>
        <w:pStyle w:val="ListParagraph"/>
        <w:numPr>
          <w:ilvl w:val="0"/>
          <w:numId w:val="14"/>
        </w:numPr>
        <w:jc w:val="both"/>
        <w:rPr>
          <w:sz w:val="24"/>
          <w:szCs w:val="24"/>
        </w:rPr>
      </w:pPr>
      <w:r w:rsidRPr="00430C15">
        <w:rPr>
          <w:sz w:val="24"/>
          <w:szCs w:val="24"/>
        </w:rPr>
        <w:t>The Expected Return on Assets (ROA) is the minimum return expected by the company on its assets</w:t>
      </w:r>
      <w:r w:rsidR="0057631F" w:rsidRPr="00572878">
        <w:rPr>
          <w:sz w:val="24"/>
          <w:szCs w:val="24"/>
        </w:rPr>
        <w:t>, on pre-tax basis</w:t>
      </w:r>
      <w:r w:rsidRPr="00430C15">
        <w:rPr>
          <w:sz w:val="24"/>
          <w:szCs w:val="24"/>
        </w:rPr>
        <w:t>.</w:t>
      </w:r>
    </w:p>
    <w:p w14:paraId="5825E4E7" w14:textId="77777777" w:rsidR="00ED3702" w:rsidRPr="00EE1308" w:rsidRDefault="00A21E7C" w:rsidP="00EE1308">
      <w:pPr>
        <w:pStyle w:val="ListParagraph"/>
        <w:numPr>
          <w:ilvl w:val="0"/>
          <w:numId w:val="14"/>
        </w:numPr>
        <w:jc w:val="both"/>
        <w:rPr>
          <w:sz w:val="24"/>
          <w:szCs w:val="24"/>
        </w:rPr>
      </w:pPr>
      <w:r>
        <w:rPr>
          <w:sz w:val="24"/>
          <w:szCs w:val="24"/>
        </w:rPr>
        <w:t xml:space="preserve">For the interest rate model, the expected ROA is considered to be the same as the </w:t>
      </w:r>
      <w:r w:rsidR="00B81D28">
        <w:rPr>
          <w:sz w:val="24"/>
          <w:szCs w:val="24"/>
        </w:rPr>
        <w:t xml:space="preserve">latest </w:t>
      </w:r>
      <w:r>
        <w:rPr>
          <w:sz w:val="24"/>
          <w:szCs w:val="24"/>
        </w:rPr>
        <w:t xml:space="preserve">budget </w:t>
      </w:r>
      <w:r w:rsidR="008E3FEB">
        <w:rPr>
          <w:sz w:val="24"/>
          <w:szCs w:val="24"/>
        </w:rPr>
        <w:t>(duly updated for revisions, if any)</w:t>
      </w:r>
      <w:r>
        <w:rPr>
          <w:sz w:val="24"/>
          <w:szCs w:val="24"/>
        </w:rPr>
        <w:t>.</w:t>
      </w:r>
    </w:p>
    <w:p w14:paraId="40CB598B" w14:textId="77777777" w:rsidR="00ED3702" w:rsidRDefault="00ED3702" w:rsidP="008D7892">
      <w:pPr>
        <w:pStyle w:val="ListParagraph"/>
        <w:ind w:left="1515"/>
        <w:jc w:val="both"/>
        <w:rPr>
          <w:rFonts w:cstheme="minorHAnsi"/>
          <w:sz w:val="24"/>
          <w:szCs w:val="24"/>
        </w:rPr>
      </w:pPr>
    </w:p>
    <w:p w14:paraId="54370B5A" w14:textId="77777777" w:rsidR="008D7892" w:rsidRDefault="008D7892" w:rsidP="008D7892">
      <w:pPr>
        <w:pStyle w:val="ListParagraph"/>
        <w:numPr>
          <w:ilvl w:val="0"/>
          <w:numId w:val="8"/>
        </w:numPr>
        <w:ind w:left="567" w:hanging="567"/>
        <w:jc w:val="both"/>
        <w:rPr>
          <w:rFonts w:cstheme="minorHAnsi"/>
          <w:b/>
          <w:bCs/>
          <w:sz w:val="24"/>
          <w:szCs w:val="24"/>
        </w:rPr>
      </w:pPr>
      <w:r>
        <w:rPr>
          <w:rFonts w:cstheme="minorHAnsi"/>
          <w:b/>
          <w:bCs/>
          <w:sz w:val="24"/>
          <w:szCs w:val="24"/>
        </w:rPr>
        <w:t xml:space="preserve">CREDIT RISK PREMIUM &amp; GRADATION OF RISK </w:t>
      </w:r>
    </w:p>
    <w:p w14:paraId="5EBB5E13" w14:textId="77777777" w:rsidR="00C20E1B" w:rsidRDefault="008D7892" w:rsidP="00D01585">
      <w:pPr>
        <w:ind w:left="567"/>
        <w:jc w:val="both"/>
        <w:rPr>
          <w:sz w:val="24"/>
          <w:szCs w:val="24"/>
        </w:rPr>
      </w:pPr>
      <w:r w:rsidRPr="008D7892">
        <w:rPr>
          <w:sz w:val="24"/>
          <w:szCs w:val="24"/>
        </w:rPr>
        <w:t xml:space="preserve">Business </w:t>
      </w:r>
      <w:r w:rsidR="00205A48">
        <w:rPr>
          <w:sz w:val="24"/>
          <w:szCs w:val="24"/>
        </w:rPr>
        <w:t xml:space="preserve">segment </w:t>
      </w:r>
      <w:r>
        <w:rPr>
          <w:sz w:val="24"/>
          <w:szCs w:val="24"/>
        </w:rPr>
        <w:t xml:space="preserve">to add credit risk premium on the </w:t>
      </w:r>
      <w:r w:rsidR="00144379">
        <w:rPr>
          <w:sz w:val="24"/>
          <w:szCs w:val="24"/>
        </w:rPr>
        <w:t>average</w:t>
      </w:r>
      <w:r>
        <w:rPr>
          <w:sz w:val="24"/>
          <w:szCs w:val="24"/>
        </w:rPr>
        <w:t xml:space="preserve"> lending rate arrived as per the Interest rate Model above. </w:t>
      </w:r>
    </w:p>
    <w:p w14:paraId="5514EBB2" w14:textId="77777777" w:rsidR="00A21E7C" w:rsidRPr="008D7892" w:rsidRDefault="00412E5D" w:rsidP="00D01585">
      <w:pPr>
        <w:ind w:left="567"/>
        <w:jc w:val="both"/>
        <w:rPr>
          <w:sz w:val="24"/>
          <w:szCs w:val="24"/>
        </w:rPr>
      </w:pPr>
      <w:r w:rsidRPr="008D7892">
        <w:rPr>
          <w:sz w:val="24"/>
          <w:szCs w:val="24"/>
        </w:rPr>
        <w:t xml:space="preserve">The rate of interest for the same </w:t>
      </w:r>
      <w:r w:rsidR="00AA7247">
        <w:rPr>
          <w:sz w:val="24"/>
          <w:szCs w:val="24"/>
        </w:rPr>
        <w:t>segment</w:t>
      </w:r>
      <w:r w:rsidR="00AA7247" w:rsidRPr="008D7892">
        <w:rPr>
          <w:sz w:val="24"/>
          <w:szCs w:val="24"/>
        </w:rPr>
        <w:t xml:space="preserve"> </w:t>
      </w:r>
      <w:r w:rsidRPr="008D7892">
        <w:rPr>
          <w:sz w:val="24"/>
          <w:szCs w:val="24"/>
        </w:rPr>
        <w:t xml:space="preserve">and tenor availed during same period by different customers is not standardized as it could vary for different customers depending upon the risk gradation of the customer based on which the credit risk premium is computed on a case-to-case basis. </w:t>
      </w:r>
      <w:r w:rsidR="00A21E7C" w:rsidRPr="008D7892">
        <w:rPr>
          <w:sz w:val="24"/>
          <w:szCs w:val="24"/>
        </w:rPr>
        <w:t>The factors affecting the calculation of Credit Risk Premium are mentioned below:</w:t>
      </w:r>
    </w:p>
    <w:p w14:paraId="1EA301FA" w14:textId="77777777" w:rsidR="00A21E7C" w:rsidRPr="00D47142" w:rsidRDefault="00A21E7C" w:rsidP="00412E5D">
      <w:pPr>
        <w:pStyle w:val="ListParagraph"/>
        <w:numPr>
          <w:ilvl w:val="2"/>
          <w:numId w:val="10"/>
        </w:numPr>
        <w:ind w:left="1560" w:hanging="524"/>
        <w:jc w:val="both"/>
        <w:rPr>
          <w:sz w:val="24"/>
          <w:szCs w:val="24"/>
        </w:rPr>
      </w:pPr>
      <w:r w:rsidRPr="00D47142">
        <w:rPr>
          <w:sz w:val="24"/>
          <w:szCs w:val="24"/>
        </w:rPr>
        <w:t xml:space="preserve">Credit and default risk in the related business </w:t>
      </w:r>
      <w:r w:rsidR="001F37DF" w:rsidRPr="00D47142">
        <w:rPr>
          <w:sz w:val="24"/>
          <w:szCs w:val="24"/>
        </w:rPr>
        <w:t>segment.</w:t>
      </w:r>
    </w:p>
    <w:p w14:paraId="6E8FA664" w14:textId="77777777" w:rsidR="00A21E7C" w:rsidRPr="00D47142" w:rsidRDefault="00A21E7C" w:rsidP="00412E5D">
      <w:pPr>
        <w:pStyle w:val="ListParagraph"/>
        <w:numPr>
          <w:ilvl w:val="2"/>
          <w:numId w:val="10"/>
        </w:numPr>
        <w:ind w:left="1560" w:hanging="524"/>
        <w:jc w:val="both"/>
        <w:rPr>
          <w:sz w:val="24"/>
          <w:szCs w:val="24"/>
        </w:rPr>
      </w:pPr>
      <w:r w:rsidRPr="00D47142">
        <w:rPr>
          <w:sz w:val="24"/>
          <w:szCs w:val="24"/>
        </w:rPr>
        <w:t>Historical performance of similar homogeneous clients</w:t>
      </w:r>
    </w:p>
    <w:p w14:paraId="17EF2A9D" w14:textId="77777777" w:rsidR="00A21E7C" w:rsidRPr="00D47142" w:rsidRDefault="00A21E7C" w:rsidP="00412E5D">
      <w:pPr>
        <w:pStyle w:val="ListParagraph"/>
        <w:numPr>
          <w:ilvl w:val="2"/>
          <w:numId w:val="10"/>
        </w:numPr>
        <w:ind w:left="1560" w:hanging="524"/>
        <w:jc w:val="both"/>
        <w:rPr>
          <w:sz w:val="24"/>
          <w:szCs w:val="24"/>
        </w:rPr>
      </w:pPr>
      <w:r w:rsidRPr="00D47142">
        <w:rPr>
          <w:sz w:val="24"/>
          <w:szCs w:val="24"/>
        </w:rPr>
        <w:t xml:space="preserve">Profile </w:t>
      </w:r>
      <w:r w:rsidR="00412E5D">
        <w:rPr>
          <w:sz w:val="24"/>
          <w:szCs w:val="24"/>
        </w:rPr>
        <w:t xml:space="preserve">and </w:t>
      </w:r>
      <w:r w:rsidR="00412E5D" w:rsidRPr="00D47142">
        <w:rPr>
          <w:sz w:val="24"/>
          <w:szCs w:val="24"/>
        </w:rPr>
        <w:t xml:space="preserve">Repayment track record </w:t>
      </w:r>
      <w:r w:rsidRPr="00D47142">
        <w:rPr>
          <w:sz w:val="24"/>
          <w:szCs w:val="24"/>
        </w:rPr>
        <w:t xml:space="preserve">of the </w:t>
      </w:r>
      <w:r w:rsidR="001F37DF" w:rsidRPr="00D47142">
        <w:rPr>
          <w:sz w:val="24"/>
          <w:szCs w:val="24"/>
        </w:rPr>
        <w:t>borrower.</w:t>
      </w:r>
    </w:p>
    <w:p w14:paraId="4D428C3F" w14:textId="77777777" w:rsidR="00A21E7C" w:rsidRPr="00D47142" w:rsidRDefault="00A21E7C" w:rsidP="00412E5D">
      <w:pPr>
        <w:pStyle w:val="ListParagraph"/>
        <w:numPr>
          <w:ilvl w:val="2"/>
          <w:numId w:val="10"/>
        </w:numPr>
        <w:ind w:left="1560" w:hanging="524"/>
        <w:jc w:val="both"/>
        <w:rPr>
          <w:sz w:val="24"/>
          <w:szCs w:val="24"/>
        </w:rPr>
      </w:pPr>
      <w:r w:rsidRPr="00D47142">
        <w:rPr>
          <w:sz w:val="24"/>
          <w:szCs w:val="24"/>
        </w:rPr>
        <w:t>Industry segment</w:t>
      </w:r>
    </w:p>
    <w:p w14:paraId="0D0B241B" w14:textId="77777777" w:rsidR="00A21E7C" w:rsidRPr="00D47142" w:rsidRDefault="00A21E7C" w:rsidP="00412E5D">
      <w:pPr>
        <w:pStyle w:val="ListParagraph"/>
        <w:numPr>
          <w:ilvl w:val="2"/>
          <w:numId w:val="10"/>
        </w:numPr>
        <w:ind w:left="1560" w:hanging="524"/>
        <w:jc w:val="both"/>
        <w:rPr>
          <w:sz w:val="24"/>
          <w:szCs w:val="24"/>
        </w:rPr>
      </w:pPr>
      <w:r w:rsidRPr="00D47142">
        <w:rPr>
          <w:sz w:val="24"/>
          <w:szCs w:val="24"/>
        </w:rPr>
        <w:t>Nature and value of collateral security</w:t>
      </w:r>
    </w:p>
    <w:p w14:paraId="7F74E3C4" w14:textId="77777777" w:rsidR="00A21E7C" w:rsidRPr="00D47142" w:rsidRDefault="00A21E7C" w:rsidP="00412E5D">
      <w:pPr>
        <w:pStyle w:val="ListParagraph"/>
        <w:numPr>
          <w:ilvl w:val="2"/>
          <w:numId w:val="10"/>
        </w:numPr>
        <w:ind w:left="1560" w:hanging="524"/>
        <w:jc w:val="both"/>
        <w:rPr>
          <w:sz w:val="24"/>
          <w:szCs w:val="24"/>
        </w:rPr>
      </w:pPr>
      <w:r w:rsidRPr="00D47142">
        <w:rPr>
          <w:sz w:val="24"/>
          <w:szCs w:val="24"/>
        </w:rPr>
        <w:t xml:space="preserve">Secured Vs unsecured </w:t>
      </w:r>
      <w:r w:rsidR="001F37DF" w:rsidRPr="00D47142">
        <w:rPr>
          <w:sz w:val="24"/>
          <w:szCs w:val="24"/>
        </w:rPr>
        <w:t>loan.</w:t>
      </w:r>
    </w:p>
    <w:p w14:paraId="4252CCBD" w14:textId="77777777" w:rsidR="00A21E7C" w:rsidRPr="00D47142" w:rsidRDefault="00A21E7C" w:rsidP="00412E5D">
      <w:pPr>
        <w:pStyle w:val="ListParagraph"/>
        <w:numPr>
          <w:ilvl w:val="2"/>
          <w:numId w:val="10"/>
        </w:numPr>
        <w:ind w:left="1560" w:hanging="524"/>
        <w:jc w:val="both"/>
        <w:rPr>
          <w:sz w:val="24"/>
          <w:szCs w:val="24"/>
        </w:rPr>
      </w:pPr>
      <w:r w:rsidRPr="00D47142">
        <w:rPr>
          <w:sz w:val="24"/>
          <w:szCs w:val="24"/>
        </w:rPr>
        <w:t>Subvention available</w:t>
      </w:r>
    </w:p>
    <w:p w14:paraId="7D855648" w14:textId="77777777" w:rsidR="00A21E7C" w:rsidRPr="00D47142" w:rsidRDefault="00A21E7C" w:rsidP="00412E5D">
      <w:pPr>
        <w:pStyle w:val="ListParagraph"/>
        <w:numPr>
          <w:ilvl w:val="2"/>
          <w:numId w:val="10"/>
        </w:numPr>
        <w:ind w:left="1560" w:hanging="524"/>
        <w:jc w:val="both"/>
        <w:rPr>
          <w:sz w:val="24"/>
          <w:szCs w:val="24"/>
        </w:rPr>
      </w:pPr>
      <w:r w:rsidRPr="00D47142">
        <w:rPr>
          <w:sz w:val="24"/>
          <w:szCs w:val="24"/>
        </w:rPr>
        <w:t>Ticket size of loan</w:t>
      </w:r>
    </w:p>
    <w:p w14:paraId="7F4C105F" w14:textId="77777777" w:rsidR="00A21E7C" w:rsidRPr="00D47142" w:rsidRDefault="00A21E7C" w:rsidP="00412E5D">
      <w:pPr>
        <w:pStyle w:val="ListParagraph"/>
        <w:numPr>
          <w:ilvl w:val="2"/>
          <w:numId w:val="10"/>
        </w:numPr>
        <w:ind w:left="1560" w:hanging="524"/>
        <w:jc w:val="both"/>
        <w:rPr>
          <w:sz w:val="24"/>
          <w:szCs w:val="24"/>
        </w:rPr>
      </w:pPr>
      <w:r w:rsidRPr="00D47142">
        <w:rPr>
          <w:sz w:val="24"/>
          <w:szCs w:val="24"/>
        </w:rPr>
        <w:t>Bureau Score</w:t>
      </w:r>
    </w:p>
    <w:p w14:paraId="241D1568" w14:textId="77777777" w:rsidR="00A21E7C" w:rsidRPr="00D47142" w:rsidRDefault="00A21E7C" w:rsidP="00412E5D">
      <w:pPr>
        <w:pStyle w:val="ListParagraph"/>
        <w:numPr>
          <w:ilvl w:val="2"/>
          <w:numId w:val="10"/>
        </w:numPr>
        <w:ind w:left="1560" w:hanging="524"/>
        <w:jc w:val="both"/>
        <w:rPr>
          <w:sz w:val="24"/>
          <w:szCs w:val="24"/>
        </w:rPr>
      </w:pPr>
      <w:r w:rsidRPr="00D47142">
        <w:rPr>
          <w:sz w:val="24"/>
          <w:szCs w:val="24"/>
        </w:rPr>
        <w:t>Tenure of Loan</w:t>
      </w:r>
    </w:p>
    <w:p w14:paraId="0ACB0B3B" w14:textId="77777777" w:rsidR="00A21E7C" w:rsidRPr="00D47142" w:rsidRDefault="00A21E7C" w:rsidP="00412E5D">
      <w:pPr>
        <w:pStyle w:val="ListParagraph"/>
        <w:numPr>
          <w:ilvl w:val="2"/>
          <w:numId w:val="10"/>
        </w:numPr>
        <w:ind w:left="1560" w:hanging="524"/>
        <w:jc w:val="both"/>
        <w:rPr>
          <w:sz w:val="24"/>
          <w:szCs w:val="24"/>
        </w:rPr>
      </w:pPr>
      <w:r w:rsidRPr="00D47142">
        <w:rPr>
          <w:sz w:val="24"/>
          <w:szCs w:val="24"/>
        </w:rPr>
        <w:t>Location delinquency and collection performance</w:t>
      </w:r>
    </w:p>
    <w:p w14:paraId="2A7A7EBF" w14:textId="77777777" w:rsidR="00412E5D" w:rsidRDefault="00A21E7C" w:rsidP="00412E5D">
      <w:pPr>
        <w:pStyle w:val="ListParagraph"/>
        <w:numPr>
          <w:ilvl w:val="2"/>
          <w:numId w:val="10"/>
        </w:numPr>
        <w:ind w:left="1560" w:hanging="524"/>
        <w:jc w:val="both"/>
        <w:rPr>
          <w:sz w:val="24"/>
          <w:szCs w:val="24"/>
        </w:rPr>
      </w:pPr>
      <w:r w:rsidRPr="00D47142">
        <w:rPr>
          <w:sz w:val="24"/>
          <w:szCs w:val="24"/>
        </w:rPr>
        <w:t>Customer Indebt</w:t>
      </w:r>
      <w:r w:rsidR="00E62C61">
        <w:rPr>
          <w:sz w:val="24"/>
          <w:szCs w:val="24"/>
        </w:rPr>
        <w:t>ed</w:t>
      </w:r>
      <w:r w:rsidRPr="00D47142">
        <w:rPr>
          <w:sz w:val="24"/>
          <w:szCs w:val="24"/>
        </w:rPr>
        <w:t>ness (other existing loans)</w:t>
      </w:r>
    </w:p>
    <w:p w14:paraId="385D3496" w14:textId="77777777" w:rsidR="000366DE" w:rsidRDefault="000366DE" w:rsidP="000366DE">
      <w:pPr>
        <w:pStyle w:val="ListParagraph"/>
        <w:autoSpaceDE w:val="0"/>
        <w:autoSpaceDN w:val="0"/>
        <w:adjustRightInd w:val="0"/>
        <w:spacing w:after="0" w:line="240" w:lineRule="auto"/>
        <w:ind w:left="360"/>
        <w:rPr>
          <w:rFonts w:ascii="CIDFont+F2" w:hAnsi="CIDFont+F2" w:cs="CIDFont+F2"/>
          <w:sz w:val="24"/>
          <w:szCs w:val="24"/>
          <w:lang w:val="en-IN"/>
        </w:rPr>
      </w:pPr>
    </w:p>
    <w:p w14:paraId="6AB7381B" w14:textId="77777777" w:rsidR="000366DE" w:rsidRDefault="000366DE" w:rsidP="001A444F">
      <w:pPr>
        <w:autoSpaceDE w:val="0"/>
        <w:autoSpaceDN w:val="0"/>
        <w:adjustRightInd w:val="0"/>
        <w:spacing w:after="0" w:line="240" w:lineRule="auto"/>
        <w:ind w:left="567"/>
        <w:rPr>
          <w:sz w:val="24"/>
          <w:szCs w:val="24"/>
        </w:rPr>
      </w:pPr>
      <w:r w:rsidRPr="000366DE">
        <w:rPr>
          <w:rFonts w:ascii="CIDFont+F2" w:hAnsi="CIDFont+F2" w:cs="CIDFont+F2"/>
          <w:sz w:val="24"/>
          <w:szCs w:val="24"/>
          <w:lang w:val="en-IN"/>
        </w:rPr>
        <w:t>The interest would be charged on monthly/quarterly/half yearly rests or on maturity,</w:t>
      </w:r>
      <w:r w:rsidR="00E62C61">
        <w:rPr>
          <w:rFonts w:ascii="CIDFont+F2" w:hAnsi="CIDFont+F2" w:cs="CIDFont+F2"/>
          <w:sz w:val="24"/>
          <w:szCs w:val="24"/>
          <w:lang w:val="en-IN"/>
        </w:rPr>
        <w:t xml:space="preserve"> </w:t>
      </w:r>
      <w:r w:rsidRPr="000366DE">
        <w:rPr>
          <w:rFonts w:ascii="CIDFont+F2" w:hAnsi="CIDFont+F2" w:cs="CIDFont+F2"/>
          <w:sz w:val="24"/>
          <w:szCs w:val="24"/>
          <w:lang w:val="en-IN"/>
        </w:rPr>
        <w:t>depending on product features and customer preferences. However, the customer</w:t>
      </w:r>
      <w:r>
        <w:rPr>
          <w:rFonts w:ascii="CIDFont+F2" w:hAnsi="CIDFont+F2" w:cs="CIDFont+F2"/>
          <w:sz w:val="24"/>
          <w:szCs w:val="24"/>
          <w:lang w:val="en-IN"/>
        </w:rPr>
        <w:t xml:space="preserve"> </w:t>
      </w:r>
      <w:r w:rsidRPr="000366DE">
        <w:rPr>
          <w:rFonts w:ascii="CIDFont+F2" w:hAnsi="CIDFont+F2" w:cs="CIDFont+F2"/>
          <w:sz w:val="24"/>
          <w:szCs w:val="24"/>
          <w:lang w:val="en-IN"/>
        </w:rPr>
        <w:t>would be provided an annualised rate of interest in the sanction</w:t>
      </w:r>
      <w:r w:rsidR="007D72CD">
        <w:rPr>
          <w:rFonts w:ascii="CIDFont+F2" w:hAnsi="CIDFont+F2" w:cs="CIDFont+F2"/>
          <w:sz w:val="24"/>
          <w:szCs w:val="24"/>
          <w:lang w:val="en-IN"/>
        </w:rPr>
        <w:t>/ offer</w:t>
      </w:r>
      <w:r w:rsidRPr="000366DE">
        <w:rPr>
          <w:rFonts w:ascii="CIDFont+F2" w:hAnsi="CIDFont+F2" w:cs="CIDFont+F2"/>
          <w:sz w:val="24"/>
          <w:szCs w:val="24"/>
          <w:lang w:val="en-IN"/>
        </w:rPr>
        <w:t xml:space="preserve"> letter</w:t>
      </w:r>
    </w:p>
    <w:p w14:paraId="11F046F1" w14:textId="77777777" w:rsidR="00421ED1" w:rsidRPr="00421ED1" w:rsidRDefault="00091423" w:rsidP="00091423">
      <w:pPr>
        <w:pStyle w:val="ListParagraph"/>
        <w:numPr>
          <w:ilvl w:val="0"/>
          <w:numId w:val="8"/>
        </w:numPr>
        <w:ind w:left="567" w:hanging="567"/>
        <w:jc w:val="both"/>
        <w:rPr>
          <w:rFonts w:cstheme="minorHAnsi"/>
          <w:b/>
          <w:bCs/>
          <w:sz w:val="24"/>
          <w:szCs w:val="24"/>
        </w:rPr>
      </w:pPr>
      <w:r>
        <w:rPr>
          <w:rFonts w:cstheme="minorHAnsi"/>
          <w:b/>
          <w:bCs/>
          <w:sz w:val="24"/>
          <w:szCs w:val="24"/>
        </w:rPr>
        <w:lastRenderedPageBreak/>
        <w:t>OTHER CHARGES</w:t>
      </w:r>
    </w:p>
    <w:p w14:paraId="49DE4AF1" w14:textId="77777777" w:rsidR="00430033" w:rsidRPr="000366DE" w:rsidRDefault="00D47142" w:rsidP="000366DE">
      <w:pPr>
        <w:pStyle w:val="ListParagraph"/>
        <w:numPr>
          <w:ilvl w:val="0"/>
          <w:numId w:val="20"/>
        </w:numPr>
        <w:jc w:val="both"/>
        <w:rPr>
          <w:rFonts w:cstheme="minorHAnsi"/>
          <w:sz w:val="24"/>
          <w:szCs w:val="24"/>
        </w:rPr>
      </w:pPr>
      <w:r w:rsidRPr="000366DE">
        <w:rPr>
          <w:rFonts w:cstheme="minorHAnsi"/>
          <w:sz w:val="24"/>
          <w:szCs w:val="24"/>
        </w:rPr>
        <w:t>Besides interest, other financial charges like processing fees, origination fees, cheque bouncing charges, late payment charges, rescheduling charges, pre-payment / foreclosure charges, part disbursement charges, cheque swap charges, security swap charges, charges for issue of statement account</w:t>
      </w:r>
      <w:r w:rsidR="00912B35">
        <w:rPr>
          <w:rFonts w:cstheme="minorHAnsi"/>
          <w:sz w:val="24"/>
          <w:szCs w:val="24"/>
        </w:rPr>
        <w:t>, valuation &amp; repossession charges (in the event of repossession of vehicles)</w:t>
      </w:r>
      <w:r w:rsidR="00C70965">
        <w:rPr>
          <w:rFonts w:cstheme="minorHAnsi"/>
          <w:sz w:val="24"/>
          <w:szCs w:val="24"/>
        </w:rPr>
        <w:t xml:space="preserve">, </w:t>
      </w:r>
      <w:r w:rsidR="00B35D2A">
        <w:rPr>
          <w:rFonts w:cstheme="minorHAnsi"/>
          <w:sz w:val="24"/>
          <w:szCs w:val="24"/>
        </w:rPr>
        <w:t>field collection/ visit charges</w:t>
      </w:r>
      <w:r w:rsidRPr="000366DE">
        <w:rPr>
          <w:rFonts w:cstheme="minorHAnsi"/>
          <w:sz w:val="24"/>
          <w:szCs w:val="24"/>
        </w:rPr>
        <w:t xml:space="preserve"> etc., would be levied by the company wherever considered necessary</w:t>
      </w:r>
      <w:r w:rsidRPr="00F16597">
        <w:rPr>
          <w:rFonts w:cstheme="minorHAnsi"/>
          <w:sz w:val="24"/>
          <w:szCs w:val="24"/>
        </w:rPr>
        <w:t xml:space="preserve">. </w:t>
      </w:r>
      <w:r w:rsidR="00B8051E" w:rsidRPr="00F16597">
        <w:rPr>
          <w:rFonts w:cstheme="minorHAnsi"/>
          <w:sz w:val="24"/>
          <w:szCs w:val="24"/>
        </w:rPr>
        <w:t>A mention of such charges will be included in the loan agreement</w:t>
      </w:r>
      <w:r w:rsidR="00F16597" w:rsidRPr="00F16597">
        <w:rPr>
          <w:rFonts w:cstheme="minorHAnsi"/>
          <w:sz w:val="24"/>
          <w:szCs w:val="24"/>
        </w:rPr>
        <w:t>/sanction letter</w:t>
      </w:r>
      <w:r w:rsidR="00B8051E" w:rsidRPr="00F16597">
        <w:rPr>
          <w:rFonts w:cstheme="minorHAnsi"/>
          <w:sz w:val="24"/>
          <w:szCs w:val="24"/>
        </w:rPr>
        <w:t xml:space="preserve"> to be executed with the customer.</w:t>
      </w:r>
      <w:r w:rsidR="00832A67" w:rsidRPr="006968BB">
        <w:rPr>
          <w:rFonts w:cstheme="minorHAnsi"/>
          <w:sz w:val="24"/>
          <w:szCs w:val="24"/>
          <w:highlight w:val="yellow"/>
        </w:rPr>
        <w:t xml:space="preserve"> </w:t>
      </w:r>
    </w:p>
    <w:p w14:paraId="6FEDCCA6" w14:textId="77777777" w:rsidR="000366DE" w:rsidRDefault="00D47142" w:rsidP="00430033">
      <w:pPr>
        <w:pStyle w:val="ListParagraph"/>
        <w:numPr>
          <w:ilvl w:val="0"/>
          <w:numId w:val="18"/>
        </w:numPr>
        <w:jc w:val="both"/>
        <w:rPr>
          <w:rFonts w:cstheme="minorHAnsi"/>
          <w:sz w:val="24"/>
          <w:szCs w:val="24"/>
        </w:rPr>
      </w:pPr>
      <w:r w:rsidRPr="00D47142">
        <w:rPr>
          <w:rFonts w:cstheme="minorHAnsi"/>
          <w:sz w:val="24"/>
          <w:szCs w:val="24"/>
        </w:rPr>
        <w:t xml:space="preserve">Besides </w:t>
      </w:r>
      <w:r w:rsidR="00430033">
        <w:rPr>
          <w:rFonts w:cstheme="minorHAnsi"/>
          <w:sz w:val="24"/>
          <w:szCs w:val="24"/>
        </w:rPr>
        <w:t xml:space="preserve">the above </w:t>
      </w:r>
      <w:r w:rsidRPr="00D47142">
        <w:rPr>
          <w:rFonts w:cstheme="minorHAnsi"/>
          <w:sz w:val="24"/>
          <w:szCs w:val="24"/>
        </w:rPr>
        <w:t>charges, stamp duty, service tax</w:t>
      </w:r>
      <w:r w:rsidR="00A348F7">
        <w:rPr>
          <w:rFonts w:cstheme="minorHAnsi"/>
          <w:sz w:val="24"/>
          <w:szCs w:val="24"/>
        </w:rPr>
        <w:t>,</w:t>
      </w:r>
      <w:r w:rsidR="00015C5F">
        <w:rPr>
          <w:rFonts w:cstheme="minorHAnsi"/>
          <w:sz w:val="24"/>
          <w:szCs w:val="24"/>
        </w:rPr>
        <w:t xml:space="preserve"> </w:t>
      </w:r>
      <w:r w:rsidR="00A348F7">
        <w:rPr>
          <w:rFonts w:cstheme="minorHAnsi"/>
          <w:sz w:val="24"/>
          <w:szCs w:val="24"/>
        </w:rPr>
        <w:t>GST</w:t>
      </w:r>
      <w:r w:rsidRPr="00D47142">
        <w:rPr>
          <w:rFonts w:cstheme="minorHAnsi"/>
          <w:sz w:val="24"/>
          <w:szCs w:val="24"/>
        </w:rPr>
        <w:t xml:space="preserve"> and other cess would be collected at applicable rates from time to time. </w:t>
      </w:r>
    </w:p>
    <w:p w14:paraId="10D0F8FD" w14:textId="77777777" w:rsidR="00F16597" w:rsidRDefault="00D47142" w:rsidP="001A444F">
      <w:pPr>
        <w:ind w:left="720"/>
        <w:jc w:val="both"/>
        <w:rPr>
          <w:rFonts w:cstheme="minorHAnsi"/>
          <w:sz w:val="24"/>
          <w:szCs w:val="24"/>
        </w:rPr>
      </w:pPr>
      <w:r w:rsidRPr="000366DE">
        <w:rPr>
          <w:rFonts w:cstheme="minorHAnsi"/>
          <w:sz w:val="24"/>
          <w:szCs w:val="24"/>
        </w:rPr>
        <w:t xml:space="preserve">Any </w:t>
      </w:r>
      <w:r w:rsidRPr="00F16597">
        <w:rPr>
          <w:rFonts w:cstheme="minorHAnsi"/>
          <w:sz w:val="24"/>
          <w:szCs w:val="24"/>
        </w:rPr>
        <w:t>revision in these charges would be from prospective effect</w:t>
      </w:r>
      <w:r w:rsidR="00F16597">
        <w:rPr>
          <w:rFonts w:cstheme="minorHAnsi"/>
          <w:sz w:val="24"/>
          <w:szCs w:val="24"/>
        </w:rPr>
        <w:t xml:space="preserve"> </w:t>
      </w:r>
      <w:r w:rsidR="00F16597" w:rsidRPr="00F16597">
        <w:rPr>
          <w:rFonts w:cstheme="minorHAnsi"/>
          <w:sz w:val="24"/>
          <w:szCs w:val="24"/>
        </w:rPr>
        <w:t xml:space="preserve">with prior approval of Managing Director or Chief Operating Officer of the respective </w:t>
      </w:r>
      <w:r w:rsidR="001F37DF" w:rsidRPr="00F16597">
        <w:rPr>
          <w:rFonts w:cstheme="minorHAnsi"/>
          <w:sz w:val="24"/>
          <w:szCs w:val="24"/>
        </w:rPr>
        <w:t>business.</w:t>
      </w:r>
    </w:p>
    <w:p w14:paraId="3BECBEFA" w14:textId="77777777" w:rsidR="00BF3A06" w:rsidRPr="00430033" w:rsidRDefault="00BF3A06" w:rsidP="00430033">
      <w:pPr>
        <w:pStyle w:val="ListParagraph"/>
        <w:ind w:left="567"/>
        <w:jc w:val="both"/>
        <w:rPr>
          <w:rFonts w:cstheme="minorHAnsi"/>
          <w:b/>
          <w:bCs/>
          <w:sz w:val="24"/>
          <w:szCs w:val="24"/>
        </w:rPr>
      </w:pPr>
    </w:p>
    <w:p w14:paraId="04675816" w14:textId="77777777" w:rsidR="00421ED1" w:rsidRDefault="00091423" w:rsidP="00430033">
      <w:pPr>
        <w:pStyle w:val="ListParagraph"/>
        <w:numPr>
          <w:ilvl w:val="0"/>
          <w:numId w:val="8"/>
        </w:numPr>
        <w:ind w:left="567" w:hanging="567"/>
        <w:jc w:val="both"/>
        <w:rPr>
          <w:rFonts w:cstheme="minorHAnsi"/>
          <w:b/>
          <w:bCs/>
          <w:sz w:val="24"/>
          <w:szCs w:val="24"/>
        </w:rPr>
      </w:pPr>
      <w:r>
        <w:rPr>
          <w:rFonts w:cstheme="minorHAnsi"/>
          <w:b/>
          <w:bCs/>
          <w:sz w:val="24"/>
          <w:szCs w:val="24"/>
        </w:rPr>
        <w:t>COMMUNICATION FRAMEWORK</w:t>
      </w:r>
    </w:p>
    <w:p w14:paraId="0BAB009D" w14:textId="77777777" w:rsidR="00421ED1" w:rsidRPr="00430033" w:rsidRDefault="001F37DF" w:rsidP="00430033">
      <w:pPr>
        <w:pStyle w:val="ListParagraph"/>
        <w:numPr>
          <w:ilvl w:val="0"/>
          <w:numId w:val="15"/>
        </w:numPr>
        <w:autoSpaceDE w:val="0"/>
        <w:autoSpaceDN w:val="0"/>
        <w:adjustRightInd w:val="0"/>
        <w:spacing w:before="143" w:after="143" w:line="240" w:lineRule="auto"/>
        <w:jc w:val="both"/>
        <w:rPr>
          <w:rFonts w:cstheme="minorHAnsi"/>
          <w:sz w:val="24"/>
          <w:szCs w:val="24"/>
        </w:rPr>
      </w:pPr>
      <w:r>
        <w:rPr>
          <w:rFonts w:cstheme="minorHAnsi"/>
          <w:sz w:val="24"/>
          <w:szCs w:val="24"/>
        </w:rPr>
        <w:t>Annualized</w:t>
      </w:r>
      <w:r w:rsidR="001D0E04">
        <w:rPr>
          <w:rFonts w:cstheme="minorHAnsi"/>
          <w:sz w:val="24"/>
          <w:szCs w:val="24"/>
        </w:rPr>
        <w:t xml:space="preserve"> </w:t>
      </w:r>
      <w:r w:rsidR="00421ED1" w:rsidRPr="00430033">
        <w:rPr>
          <w:rFonts w:cstheme="minorHAnsi"/>
          <w:sz w:val="24"/>
          <w:szCs w:val="24"/>
        </w:rPr>
        <w:t xml:space="preserve">Interest rates would be intimated to the customers at the time of sanction/ availing of the loan. </w:t>
      </w:r>
    </w:p>
    <w:p w14:paraId="3A43387D" w14:textId="77777777" w:rsidR="008D7892" w:rsidRDefault="00421ED1" w:rsidP="000366DE">
      <w:pPr>
        <w:pStyle w:val="ListParagraph"/>
        <w:numPr>
          <w:ilvl w:val="0"/>
          <w:numId w:val="15"/>
        </w:numPr>
        <w:autoSpaceDE w:val="0"/>
        <w:autoSpaceDN w:val="0"/>
        <w:adjustRightInd w:val="0"/>
        <w:spacing w:before="143" w:after="143" w:line="240" w:lineRule="auto"/>
        <w:jc w:val="both"/>
        <w:rPr>
          <w:sz w:val="24"/>
          <w:szCs w:val="24"/>
        </w:rPr>
      </w:pPr>
      <w:r w:rsidRPr="00430033">
        <w:rPr>
          <w:rFonts w:cstheme="minorHAnsi"/>
          <w:sz w:val="24"/>
          <w:szCs w:val="24"/>
        </w:rPr>
        <w:t xml:space="preserve">Interest Rate Policy would be uploaded </w:t>
      </w:r>
      <w:r w:rsidR="001F37DF" w:rsidRPr="00430033">
        <w:rPr>
          <w:rFonts w:cstheme="minorHAnsi"/>
          <w:sz w:val="24"/>
          <w:szCs w:val="24"/>
        </w:rPr>
        <w:t>to</w:t>
      </w:r>
      <w:r w:rsidRPr="00430033">
        <w:rPr>
          <w:rFonts w:cstheme="minorHAnsi"/>
          <w:sz w:val="24"/>
          <w:szCs w:val="24"/>
        </w:rPr>
        <w:t xml:space="preserve"> the website of the company and any change in the benchmark rates and charges for existing customers would be uploaded </w:t>
      </w:r>
      <w:r w:rsidR="001F37DF" w:rsidRPr="00430033">
        <w:rPr>
          <w:rFonts w:cstheme="minorHAnsi"/>
          <w:sz w:val="24"/>
          <w:szCs w:val="24"/>
        </w:rPr>
        <w:t>to</w:t>
      </w:r>
      <w:r w:rsidRPr="00430033">
        <w:rPr>
          <w:rFonts w:cstheme="minorHAnsi"/>
          <w:sz w:val="24"/>
          <w:szCs w:val="24"/>
        </w:rPr>
        <w:t xml:space="preserve"> the website of the Company. </w:t>
      </w:r>
      <w:r w:rsidR="008D7892">
        <w:rPr>
          <w:rFonts w:cstheme="minorHAnsi"/>
          <w:sz w:val="24"/>
          <w:szCs w:val="24"/>
        </w:rPr>
        <w:t xml:space="preserve">Current interest rate policy along with approach to gradation of risk </w:t>
      </w:r>
      <w:r w:rsidR="008D7892" w:rsidRPr="008D7892">
        <w:rPr>
          <w:sz w:val="24"/>
          <w:szCs w:val="24"/>
        </w:rPr>
        <w:t>is attached as Annexure 1.</w:t>
      </w:r>
    </w:p>
    <w:p w14:paraId="3FDAE8C1" w14:textId="77777777" w:rsidR="008F40D8" w:rsidRPr="008D7892" w:rsidRDefault="008F40D8" w:rsidP="00572878">
      <w:pPr>
        <w:pStyle w:val="ListParagraph"/>
        <w:autoSpaceDE w:val="0"/>
        <w:autoSpaceDN w:val="0"/>
        <w:adjustRightInd w:val="0"/>
        <w:spacing w:before="143" w:after="143" w:line="240" w:lineRule="auto"/>
        <w:jc w:val="both"/>
        <w:rPr>
          <w:sz w:val="24"/>
          <w:szCs w:val="24"/>
        </w:rPr>
      </w:pPr>
    </w:p>
    <w:p w14:paraId="4C2009AE" w14:textId="77777777" w:rsidR="008F40D8" w:rsidRDefault="00EB4ACF" w:rsidP="008F40D8">
      <w:pPr>
        <w:pStyle w:val="ListParagraph"/>
        <w:numPr>
          <w:ilvl w:val="0"/>
          <w:numId w:val="8"/>
        </w:numPr>
        <w:ind w:left="567" w:hanging="567"/>
        <w:jc w:val="both"/>
        <w:rPr>
          <w:rFonts w:cstheme="minorHAnsi"/>
          <w:b/>
          <w:bCs/>
          <w:sz w:val="24"/>
          <w:szCs w:val="24"/>
        </w:rPr>
      </w:pPr>
      <w:r>
        <w:rPr>
          <w:rFonts w:cstheme="minorHAnsi"/>
          <w:b/>
          <w:bCs/>
          <w:sz w:val="24"/>
          <w:szCs w:val="24"/>
        </w:rPr>
        <w:t>EXEMPTIONS FROM THE APPLICATION OF THIS POLICY</w:t>
      </w:r>
    </w:p>
    <w:p w14:paraId="042042B0" w14:textId="77777777" w:rsidR="00421ED1" w:rsidRPr="00572878" w:rsidRDefault="008F40D8" w:rsidP="00421ED1">
      <w:pPr>
        <w:pStyle w:val="ListParagraph"/>
        <w:ind w:left="567"/>
        <w:jc w:val="both"/>
        <w:rPr>
          <w:rFonts w:cstheme="minorHAnsi"/>
          <w:sz w:val="24"/>
          <w:szCs w:val="24"/>
        </w:rPr>
      </w:pPr>
      <w:r w:rsidRPr="00572878">
        <w:rPr>
          <w:rFonts w:cstheme="minorHAnsi"/>
          <w:sz w:val="24"/>
          <w:szCs w:val="24"/>
        </w:rPr>
        <w:t>The following product lines shall be exempted from the application of this policy:</w:t>
      </w:r>
    </w:p>
    <w:p w14:paraId="64AB11AF" w14:textId="77777777" w:rsidR="008F40D8" w:rsidRPr="00572878" w:rsidRDefault="008F40D8" w:rsidP="008F40D8">
      <w:pPr>
        <w:pStyle w:val="ListParagraph"/>
        <w:numPr>
          <w:ilvl w:val="0"/>
          <w:numId w:val="25"/>
        </w:numPr>
        <w:jc w:val="both"/>
        <w:rPr>
          <w:rFonts w:cstheme="minorHAnsi"/>
          <w:sz w:val="24"/>
          <w:szCs w:val="24"/>
        </w:rPr>
      </w:pPr>
      <w:r w:rsidRPr="00572878">
        <w:rPr>
          <w:rFonts w:cstheme="minorHAnsi"/>
          <w:sz w:val="24"/>
          <w:szCs w:val="24"/>
        </w:rPr>
        <w:t>Bill Discounting business under SME business</w:t>
      </w:r>
      <w:r w:rsidR="00394753">
        <w:rPr>
          <w:rFonts w:cstheme="minorHAnsi"/>
          <w:sz w:val="24"/>
          <w:szCs w:val="24"/>
        </w:rPr>
        <w:t>,</w:t>
      </w:r>
      <w:r w:rsidR="009F4EA3">
        <w:rPr>
          <w:rFonts w:cstheme="minorHAnsi"/>
          <w:sz w:val="24"/>
          <w:szCs w:val="24"/>
        </w:rPr>
        <w:t xml:space="preserve"> </w:t>
      </w:r>
      <w:r w:rsidR="00394753">
        <w:rPr>
          <w:rFonts w:cstheme="minorHAnsi"/>
          <w:sz w:val="24"/>
          <w:szCs w:val="24"/>
        </w:rPr>
        <w:t>since</w:t>
      </w:r>
      <w:r w:rsidR="009F4EA3">
        <w:rPr>
          <w:rFonts w:cstheme="minorHAnsi"/>
          <w:sz w:val="24"/>
          <w:szCs w:val="24"/>
        </w:rPr>
        <w:t xml:space="preserve"> </w:t>
      </w:r>
      <w:r w:rsidR="00F137D7">
        <w:rPr>
          <w:rFonts w:cstheme="minorHAnsi"/>
          <w:sz w:val="24"/>
          <w:szCs w:val="24"/>
        </w:rPr>
        <w:t xml:space="preserve">Bill </w:t>
      </w:r>
      <w:r w:rsidR="003F546F">
        <w:rPr>
          <w:rFonts w:cstheme="minorHAnsi"/>
          <w:sz w:val="24"/>
          <w:szCs w:val="24"/>
        </w:rPr>
        <w:t>D</w:t>
      </w:r>
      <w:r w:rsidR="00F137D7">
        <w:rPr>
          <w:rFonts w:cstheme="minorHAnsi"/>
          <w:sz w:val="24"/>
          <w:szCs w:val="24"/>
        </w:rPr>
        <w:t>iscounting</w:t>
      </w:r>
      <w:r w:rsidR="003F546F">
        <w:rPr>
          <w:rFonts w:cstheme="minorHAnsi"/>
          <w:sz w:val="24"/>
          <w:szCs w:val="24"/>
        </w:rPr>
        <w:t xml:space="preserve"> (BD)</w:t>
      </w:r>
      <w:r w:rsidR="00F137D7">
        <w:rPr>
          <w:rFonts w:cstheme="minorHAnsi"/>
          <w:sz w:val="24"/>
          <w:szCs w:val="24"/>
        </w:rPr>
        <w:t xml:space="preserve"> is a very short</w:t>
      </w:r>
      <w:r w:rsidR="00223233">
        <w:rPr>
          <w:rFonts w:cstheme="minorHAnsi"/>
          <w:sz w:val="24"/>
          <w:szCs w:val="24"/>
        </w:rPr>
        <w:t>-</w:t>
      </w:r>
      <w:r w:rsidR="00F137D7">
        <w:rPr>
          <w:rFonts w:cstheme="minorHAnsi"/>
          <w:sz w:val="24"/>
          <w:szCs w:val="24"/>
        </w:rPr>
        <w:t xml:space="preserve">term product with max usance of not more than 180 days and average usance of less than 90 </w:t>
      </w:r>
      <w:r w:rsidR="001F37DF">
        <w:rPr>
          <w:rFonts w:cstheme="minorHAnsi"/>
          <w:sz w:val="24"/>
          <w:szCs w:val="24"/>
        </w:rPr>
        <w:t>days.</w:t>
      </w:r>
    </w:p>
    <w:p w14:paraId="11D245D0" w14:textId="77777777" w:rsidR="008F40D8" w:rsidRPr="00572878" w:rsidRDefault="001F37DF" w:rsidP="008F40D8">
      <w:pPr>
        <w:pStyle w:val="ListParagraph"/>
        <w:numPr>
          <w:ilvl w:val="0"/>
          <w:numId w:val="25"/>
        </w:numPr>
        <w:jc w:val="both"/>
        <w:rPr>
          <w:rFonts w:cstheme="minorHAnsi"/>
          <w:sz w:val="24"/>
          <w:szCs w:val="24"/>
        </w:rPr>
      </w:pPr>
      <w:r>
        <w:rPr>
          <w:rFonts w:cstheme="minorHAnsi"/>
          <w:sz w:val="24"/>
          <w:szCs w:val="24"/>
        </w:rPr>
        <w:t>Salary</w:t>
      </w:r>
      <w:r w:rsidR="0095260A" w:rsidRPr="0095260A">
        <w:rPr>
          <w:rFonts w:cstheme="minorHAnsi"/>
          <w:sz w:val="24"/>
          <w:szCs w:val="24"/>
        </w:rPr>
        <w:t xml:space="preserve"> </w:t>
      </w:r>
      <w:r w:rsidR="00843126" w:rsidRPr="0095260A">
        <w:rPr>
          <w:rFonts w:cstheme="minorHAnsi"/>
          <w:sz w:val="24"/>
          <w:szCs w:val="24"/>
        </w:rPr>
        <w:t>advances</w:t>
      </w:r>
      <w:r w:rsidR="0095260A" w:rsidRPr="0095260A">
        <w:rPr>
          <w:rFonts w:cstheme="minorHAnsi"/>
          <w:sz w:val="24"/>
          <w:szCs w:val="24"/>
        </w:rPr>
        <w:t xml:space="preserve"> to staff,</w:t>
      </w:r>
      <w:r w:rsidR="009F4EA3">
        <w:rPr>
          <w:rFonts w:cstheme="minorHAnsi"/>
          <w:sz w:val="24"/>
          <w:szCs w:val="24"/>
        </w:rPr>
        <w:t xml:space="preserve"> as these are covered by HR </w:t>
      </w:r>
      <w:r>
        <w:rPr>
          <w:rFonts w:cstheme="minorHAnsi"/>
          <w:sz w:val="24"/>
          <w:szCs w:val="24"/>
        </w:rPr>
        <w:t>policies.</w:t>
      </w:r>
    </w:p>
    <w:p w14:paraId="4ACCEADE" w14:textId="77777777" w:rsidR="008F40D8" w:rsidRDefault="008F40D8" w:rsidP="00572878">
      <w:pPr>
        <w:pStyle w:val="ListParagraph"/>
        <w:numPr>
          <w:ilvl w:val="0"/>
          <w:numId w:val="25"/>
        </w:numPr>
        <w:jc w:val="both"/>
        <w:rPr>
          <w:rFonts w:cstheme="minorHAnsi"/>
          <w:sz w:val="24"/>
          <w:szCs w:val="24"/>
        </w:rPr>
      </w:pPr>
      <w:r w:rsidRPr="00572878">
        <w:rPr>
          <w:rFonts w:cstheme="minorHAnsi"/>
          <w:sz w:val="24"/>
          <w:szCs w:val="24"/>
        </w:rPr>
        <w:t>Loans against F</w:t>
      </w:r>
      <w:r w:rsidR="00434C1E" w:rsidRPr="00572878">
        <w:rPr>
          <w:rFonts w:cstheme="minorHAnsi"/>
          <w:sz w:val="24"/>
          <w:szCs w:val="24"/>
        </w:rPr>
        <w:t xml:space="preserve">ixed </w:t>
      </w:r>
      <w:r w:rsidRPr="00572878">
        <w:rPr>
          <w:rFonts w:cstheme="minorHAnsi"/>
          <w:sz w:val="24"/>
          <w:szCs w:val="24"/>
        </w:rPr>
        <w:t>D</w:t>
      </w:r>
      <w:r w:rsidR="00434C1E" w:rsidRPr="00572878">
        <w:rPr>
          <w:rFonts w:cstheme="minorHAnsi"/>
          <w:sz w:val="24"/>
          <w:szCs w:val="24"/>
        </w:rPr>
        <w:t>eposit business, if any</w:t>
      </w:r>
      <w:r w:rsidR="009F4EA3">
        <w:rPr>
          <w:rFonts w:cstheme="minorHAnsi"/>
          <w:sz w:val="24"/>
          <w:szCs w:val="24"/>
        </w:rPr>
        <w:t>, as per RBI Guidelines.</w:t>
      </w:r>
    </w:p>
    <w:p w14:paraId="325B2A3B" w14:textId="77777777" w:rsidR="00430033" w:rsidRDefault="00430033" w:rsidP="004F5ED4">
      <w:pPr>
        <w:jc w:val="both"/>
        <w:rPr>
          <w:sz w:val="24"/>
          <w:szCs w:val="24"/>
        </w:rPr>
      </w:pPr>
    </w:p>
    <w:p w14:paraId="6E6FDC44" w14:textId="77777777" w:rsidR="00430033" w:rsidRPr="002F02F4" w:rsidRDefault="00430033" w:rsidP="00430033">
      <w:pPr>
        <w:jc w:val="both"/>
        <w:rPr>
          <w:rFonts w:cstheme="minorHAnsi"/>
        </w:rPr>
      </w:pPr>
      <w:r>
        <w:rPr>
          <w:rFonts w:cstheme="minorHAnsi"/>
        </w:rPr>
        <w:t>=======================================================================================</w:t>
      </w:r>
    </w:p>
    <w:p w14:paraId="54621DCE" w14:textId="77777777" w:rsidR="00430033" w:rsidRDefault="00430033" w:rsidP="004F5ED4">
      <w:pPr>
        <w:jc w:val="both"/>
        <w:rPr>
          <w:sz w:val="24"/>
          <w:szCs w:val="24"/>
        </w:rPr>
      </w:pPr>
    </w:p>
    <w:p w14:paraId="531E407A" w14:textId="77777777" w:rsidR="008E3FEB" w:rsidRPr="00430033" w:rsidRDefault="008E3FEB" w:rsidP="00430033">
      <w:pPr>
        <w:jc w:val="center"/>
        <w:rPr>
          <w:rFonts w:cstheme="minorHAnsi"/>
          <w:b/>
          <w:bCs/>
          <w:sz w:val="26"/>
          <w:szCs w:val="26"/>
          <w:lang w:eastAsia="en-IN"/>
        </w:rPr>
      </w:pPr>
      <w:r>
        <w:rPr>
          <w:b/>
          <w:bCs/>
          <w:sz w:val="20"/>
          <w:szCs w:val="20"/>
        </w:rPr>
        <w:br w:type="column"/>
      </w:r>
      <w:r w:rsidRPr="00430033">
        <w:rPr>
          <w:rFonts w:cstheme="minorHAnsi"/>
          <w:b/>
          <w:bCs/>
          <w:sz w:val="26"/>
          <w:szCs w:val="26"/>
          <w:lang w:eastAsia="en-IN"/>
        </w:rPr>
        <w:lastRenderedPageBreak/>
        <w:t xml:space="preserve">Annexure 1: </w:t>
      </w:r>
      <w:r w:rsidR="00B81D28">
        <w:rPr>
          <w:rFonts w:cstheme="minorHAnsi"/>
          <w:b/>
          <w:bCs/>
          <w:sz w:val="26"/>
          <w:szCs w:val="26"/>
          <w:lang w:eastAsia="en-IN"/>
        </w:rPr>
        <w:t xml:space="preserve">Current </w:t>
      </w:r>
      <w:r w:rsidRPr="00430033">
        <w:rPr>
          <w:rFonts w:cstheme="minorHAnsi"/>
          <w:b/>
          <w:bCs/>
          <w:sz w:val="26"/>
          <w:szCs w:val="26"/>
          <w:lang w:eastAsia="en-IN"/>
        </w:rPr>
        <w:t>Interest Rate Policy as Published on the Website of the Company</w:t>
      </w:r>
    </w:p>
    <w:p w14:paraId="4A9C5D97" w14:textId="77777777" w:rsidR="00F16597" w:rsidRDefault="00F16597" w:rsidP="00F16597">
      <w:pPr>
        <w:shd w:val="clear" w:color="auto" w:fill="FFFFFF"/>
        <w:spacing w:after="0"/>
        <w:rPr>
          <w:rFonts w:cstheme="minorHAnsi"/>
          <w:b/>
          <w:bCs/>
          <w:sz w:val="24"/>
          <w:szCs w:val="24"/>
          <w:lang w:eastAsia="en-IN"/>
        </w:rPr>
      </w:pPr>
    </w:p>
    <w:p w14:paraId="6BBF3874" w14:textId="77777777" w:rsidR="008E3FEB" w:rsidRPr="00F16597" w:rsidRDefault="008E3FEB" w:rsidP="00F16597">
      <w:pPr>
        <w:shd w:val="clear" w:color="auto" w:fill="FFFFFF"/>
        <w:spacing w:after="0"/>
        <w:rPr>
          <w:rFonts w:cstheme="minorHAnsi"/>
          <w:b/>
          <w:bCs/>
          <w:sz w:val="24"/>
          <w:szCs w:val="24"/>
          <w:lang w:eastAsia="en-IN"/>
        </w:rPr>
      </w:pPr>
      <w:r w:rsidRPr="00F16597">
        <w:rPr>
          <w:rFonts w:cstheme="minorHAnsi"/>
          <w:b/>
          <w:bCs/>
          <w:sz w:val="24"/>
          <w:szCs w:val="24"/>
          <w:lang w:eastAsia="en-IN"/>
        </w:rPr>
        <w:t>Preamble:</w:t>
      </w:r>
    </w:p>
    <w:p w14:paraId="21E5A8BD" w14:textId="77777777" w:rsidR="00F16597" w:rsidRDefault="00F16597" w:rsidP="00F16597">
      <w:pPr>
        <w:shd w:val="clear" w:color="auto" w:fill="FFFFFF"/>
        <w:spacing w:after="0"/>
        <w:contextualSpacing/>
        <w:rPr>
          <w:rFonts w:cstheme="minorHAnsi"/>
          <w:color w:val="000000"/>
          <w:sz w:val="24"/>
          <w:szCs w:val="24"/>
          <w:lang w:eastAsia="en-IN"/>
        </w:rPr>
      </w:pPr>
    </w:p>
    <w:p w14:paraId="02871209" w14:textId="77777777" w:rsidR="008E3FEB" w:rsidRPr="008E3FEB" w:rsidRDefault="00C90F6F" w:rsidP="001B0E3E">
      <w:pPr>
        <w:shd w:val="clear" w:color="auto" w:fill="FFFFFF"/>
        <w:spacing w:after="0"/>
        <w:contextualSpacing/>
        <w:jc w:val="both"/>
        <w:rPr>
          <w:rFonts w:cstheme="minorHAnsi"/>
          <w:color w:val="000000"/>
          <w:sz w:val="24"/>
          <w:szCs w:val="24"/>
          <w:lang w:eastAsia="en-IN"/>
        </w:rPr>
      </w:pPr>
      <w:r w:rsidRPr="00C90F6F">
        <w:rPr>
          <w:rFonts w:cstheme="minorHAnsi"/>
          <w:color w:val="000000"/>
          <w:sz w:val="24"/>
          <w:szCs w:val="24"/>
          <w:lang w:eastAsia="en-IN"/>
        </w:rPr>
        <w:t xml:space="preserve">The Reserve Bank of India vide </w:t>
      </w:r>
      <w:r w:rsidR="00230D5D">
        <w:rPr>
          <w:rFonts w:cstheme="minorHAnsi"/>
          <w:color w:val="000000"/>
          <w:sz w:val="24"/>
          <w:szCs w:val="24"/>
          <w:lang w:eastAsia="en-IN"/>
        </w:rPr>
        <w:t xml:space="preserve"> </w:t>
      </w:r>
      <w:r w:rsidR="00230D5D" w:rsidRPr="00D01585">
        <w:rPr>
          <w:rFonts w:cstheme="minorHAnsi"/>
          <w:b/>
          <w:bCs/>
          <w:color w:val="000000"/>
          <w:sz w:val="24"/>
          <w:szCs w:val="24"/>
          <w:lang w:eastAsia="en-IN"/>
        </w:rPr>
        <w:t>Chapter</w:t>
      </w:r>
      <w:r w:rsidR="004B2CE0" w:rsidRPr="00D01585">
        <w:rPr>
          <w:rFonts w:cstheme="minorHAnsi"/>
          <w:b/>
          <w:bCs/>
          <w:color w:val="000000"/>
          <w:sz w:val="24"/>
          <w:szCs w:val="24"/>
          <w:lang w:eastAsia="en-IN"/>
        </w:rPr>
        <w:t xml:space="preserve"> III </w:t>
      </w:r>
      <w:r w:rsidR="00863AAF">
        <w:rPr>
          <w:rFonts w:cstheme="minorHAnsi"/>
          <w:b/>
          <w:bCs/>
          <w:color w:val="000000"/>
          <w:sz w:val="24"/>
          <w:szCs w:val="24"/>
          <w:lang w:eastAsia="en-IN"/>
        </w:rPr>
        <w:t xml:space="preserve">of </w:t>
      </w:r>
      <w:r w:rsidR="00434BCA" w:rsidRPr="00434BCA">
        <w:rPr>
          <w:rFonts w:cstheme="minorHAnsi"/>
          <w:b/>
          <w:bCs/>
          <w:color w:val="000000"/>
          <w:sz w:val="24"/>
          <w:szCs w:val="24"/>
          <w:lang w:val="en-IN" w:eastAsia="en-IN"/>
        </w:rPr>
        <w:t xml:space="preserve">Reserve Bank of India (Non-Banking Financial Companies – Responsible Business Conduct) Directions, 2025 </w:t>
      </w:r>
      <w:r w:rsidRPr="00C90F6F">
        <w:rPr>
          <w:rFonts w:cstheme="minorHAnsi"/>
          <w:color w:val="000000"/>
          <w:sz w:val="24"/>
          <w:szCs w:val="24"/>
          <w:lang w:eastAsia="en-IN"/>
        </w:rPr>
        <w:t>and other applicable regulations</w:t>
      </w:r>
      <w:r>
        <w:rPr>
          <w:rFonts w:cstheme="minorHAnsi"/>
          <w:color w:val="000000"/>
          <w:sz w:val="24"/>
          <w:szCs w:val="24"/>
          <w:lang w:eastAsia="en-IN"/>
        </w:rPr>
        <w:t xml:space="preserve"> </w:t>
      </w:r>
      <w:r w:rsidR="008E3FEB" w:rsidRPr="008E3FEB">
        <w:rPr>
          <w:rFonts w:cstheme="minorHAnsi"/>
          <w:color w:val="000000"/>
          <w:sz w:val="24"/>
          <w:szCs w:val="24"/>
          <w:lang w:eastAsia="en-IN"/>
        </w:rPr>
        <w:t>have directed all NBFCs to:</w:t>
      </w:r>
    </w:p>
    <w:p w14:paraId="12CB9FAA" w14:textId="77777777" w:rsidR="008E3FEB" w:rsidRPr="008E3FEB" w:rsidRDefault="008E3FEB" w:rsidP="00F14E84">
      <w:pPr>
        <w:numPr>
          <w:ilvl w:val="0"/>
          <w:numId w:val="17"/>
        </w:numPr>
        <w:shd w:val="clear" w:color="auto" w:fill="FFFFFF"/>
        <w:tabs>
          <w:tab w:val="clear" w:pos="720"/>
        </w:tabs>
        <w:spacing w:after="0"/>
        <w:ind w:left="426" w:hanging="357"/>
        <w:contextualSpacing/>
        <w:jc w:val="both"/>
        <w:rPr>
          <w:rFonts w:eastAsia="Times New Roman" w:cstheme="minorHAnsi"/>
          <w:color w:val="000000"/>
          <w:sz w:val="24"/>
          <w:szCs w:val="24"/>
          <w:lang w:eastAsia="en-IN"/>
        </w:rPr>
      </w:pPr>
      <w:r w:rsidRPr="008E3FEB">
        <w:rPr>
          <w:rFonts w:eastAsia="Times New Roman" w:cstheme="minorHAnsi"/>
          <w:color w:val="000000"/>
          <w:sz w:val="24"/>
          <w:szCs w:val="24"/>
          <w:lang w:eastAsia="en-IN"/>
        </w:rPr>
        <w:t xml:space="preserve">Communicate the </w:t>
      </w:r>
      <w:r w:rsidR="001F37DF" w:rsidRPr="008E3FEB">
        <w:rPr>
          <w:rFonts w:eastAsia="Times New Roman" w:cstheme="minorHAnsi"/>
          <w:color w:val="000000"/>
          <w:sz w:val="24"/>
          <w:szCs w:val="24"/>
          <w:lang w:eastAsia="en-IN"/>
        </w:rPr>
        <w:t>annualized</w:t>
      </w:r>
      <w:r w:rsidRPr="008E3FEB">
        <w:rPr>
          <w:rFonts w:eastAsia="Times New Roman" w:cstheme="minorHAnsi"/>
          <w:color w:val="000000"/>
          <w:sz w:val="24"/>
          <w:szCs w:val="24"/>
          <w:lang w:eastAsia="en-IN"/>
        </w:rPr>
        <w:t xml:space="preserve"> rate of interest to the borrower along with the approach for gradation of risk and rationale for charging different rates of interest to different categories of borrowers.</w:t>
      </w:r>
    </w:p>
    <w:p w14:paraId="28B8FFAC" w14:textId="77777777" w:rsidR="008E3FEB" w:rsidRPr="008E3FEB" w:rsidRDefault="008E3FEB" w:rsidP="00F14E84">
      <w:pPr>
        <w:numPr>
          <w:ilvl w:val="0"/>
          <w:numId w:val="17"/>
        </w:numPr>
        <w:shd w:val="clear" w:color="auto" w:fill="FFFFFF"/>
        <w:tabs>
          <w:tab w:val="clear" w:pos="720"/>
        </w:tabs>
        <w:spacing w:before="100" w:beforeAutospacing="1"/>
        <w:ind w:left="426"/>
        <w:contextualSpacing/>
        <w:jc w:val="both"/>
        <w:rPr>
          <w:rFonts w:eastAsia="Times New Roman" w:cstheme="minorHAnsi"/>
          <w:color w:val="000000"/>
          <w:sz w:val="24"/>
          <w:szCs w:val="24"/>
          <w:lang w:eastAsia="en-IN"/>
        </w:rPr>
      </w:pPr>
      <w:r w:rsidRPr="008E3FEB">
        <w:rPr>
          <w:rFonts w:eastAsia="Times New Roman" w:cstheme="minorHAnsi"/>
          <w:color w:val="000000"/>
          <w:sz w:val="24"/>
          <w:szCs w:val="24"/>
          <w:lang w:eastAsia="en-IN"/>
        </w:rPr>
        <w:t>Make available the rates of interest and the approach for gradation of risks on the website of the companies.</w:t>
      </w:r>
    </w:p>
    <w:p w14:paraId="5C353BD4" w14:textId="77777777" w:rsidR="00F16597" w:rsidRDefault="00F16597" w:rsidP="008E3FEB">
      <w:pPr>
        <w:shd w:val="clear" w:color="auto" w:fill="FFFFFF"/>
        <w:contextualSpacing/>
        <w:rPr>
          <w:rFonts w:cstheme="minorHAnsi"/>
          <w:b/>
          <w:bCs/>
          <w:sz w:val="24"/>
          <w:szCs w:val="24"/>
          <w:lang w:eastAsia="en-IN"/>
        </w:rPr>
      </w:pPr>
    </w:p>
    <w:p w14:paraId="014525C3" w14:textId="77777777" w:rsidR="008E3FEB" w:rsidRPr="008E3FEB" w:rsidRDefault="008E3FEB" w:rsidP="008E3FEB">
      <w:pPr>
        <w:shd w:val="clear" w:color="auto" w:fill="FFFFFF"/>
        <w:contextualSpacing/>
        <w:rPr>
          <w:rFonts w:cstheme="minorHAnsi"/>
          <w:b/>
          <w:bCs/>
          <w:sz w:val="24"/>
          <w:szCs w:val="24"/>
          <w:lang w:eastAsia="en-IN"/>
        </w:rPr>
      </w:pPr>
      <w:r w:rsidRPr="008E3FEB">
        <w:rPr>
          <w:rFonts w:cstheme="minorHAnsi"/>
          <w:b/>
          <w:bCs/>
          <w:sz w:val="24"/>
          <w:szCs w:val="24"/>
          <w:lang w:eastAsia="en-IN"/>
        </w:rPr>
        <w:t xml:space="preserve">Rate of interest: </w:t>
      </w:r>
    </w:p>
    <w:p w14:paraId="54C652F9" w14:textId="77777777" w:rsidR="00F16597" w:rsidRDefault="00F16597" w:rsidP="008E3FEB">
      <w:pPr>
        <w:shd w:val="clear" w:color="auto" w:fill="FFFFFF"/>
        <w:contextualSpacing/>
        <w:rPr>
          <w:rFonts w:cstheme="minorHAnsi"/>
          <w:sz w:val="24"/>
          <w:szCs w:val="24"/>
          <w:lang w:eastAsia="en-IN"/>
        </w:rPr>
      </w:pPr>
    </w:p>
    <w:p w14:paraId="576A0FF2" w14:textId="77777777" w:rsidR="008E3FEB" w:rsidRPr="008E3FEB" w:rsidRDefault="008E3FEB" w:rsidP="008E3FEB">
      <w:pPr>
        <w:shd w:val="clear" w:color="auto" w:fill="FFFFFF"/>
        <w:contextualSpacing/>
        <w:rPr>
          <w:rFonts w:cstheme="minorHAnsi"/>
          <w:sz w:val="24"/>
          <w:szCs w:val="24"/>
          <w:lang w:eastAsia="en-IN"/>
        </w:rPr>
      </w:pPr>
      <w:r w:rsidRPr="008E3FEB">
        <w:rPr>
          <w:rFonts w:cstheme="minorHAnsi"/>
          <w:sz w:val="24"/>
          <w:szCs w:val="24"/>
          <w:lang w:eastAsia="en-IN"/>
        </w:rPr>
        <w:t xml:space="preserve">The Company intimates the borrower, the loan amount and rate of interest at the time of sanction of the loan along with the tenure and amount of the </w:t>
      </w:r>
      <w:r w:rsidR="00F1599C">
        <w:rPr>
          <w:rFonts w:cstheme="minorHAnsi"/>
          <w:sz w:val="24"/>
          <w:szCs w:val="24"/>
          <w:lang w:eastAsia="en-IN"/>
        </w:rPr>
        <w:t xml:space="preserve"> periodic </w:t>
      </w:r>
      <w:r w:rsidRPr="008E3FEB">
        <w:rPr>
          <w:rFonts w:cstheme="minorHAnsi"/>
          <w:sz w:val="24"/>
          <w:szCs w:val="24"/>
          <w:lang w:eastAsia="en-IN"/>
        </w:rPr>
        <w:t>instalment.</w:t>
      </w:r>
    </w:p>
    <w:p w14:paraId="1AF29507" w14:textId="77777777" w:rsidR="00F16597" w:rsidRDefault="00F16597" w:rsidP="008E3FEB">
      <w:pPr>
        <w:shd w:val="clear" w:color="auto" w:fill="FFFFFF"/>
        <w:contextualSpacing/>
        <w:rPr>
          <w:rFonts w:cstheme="minorHAnsi"/>
          <w:b/>
          <w:bCs/>
          <w:sz w:val="24"/>
          <w:szCs w:val="24"/>
          <w:lang w:eastAsia="en-IN"/>
        </w:rPr>
      </w:pPr>
    </w:p>
    <w:p w14:paraId="674BE669" w14:textId="77777777" w:rsidR="008E3FEB" w:rsidRPr="008E3FEB" w:rsidRDefault="008E3FEB" w:rsidP="008E3FEB">
      <w:pPr>
        <w:shd w:val="clear" w:color="auto" w:fill="FFFFFF"/>
        <w:contextualSpacing/>
        <w:rPr>
          <w:rFonts w:cstheme="minorHAnsi"/>
          <w:b/>
          <w:bCs/>
          <w:sz w:val="24"/>
          <w:szCs w:val="24"/>
          <w:lang w:eastAsia="en-IN"/>
        </w:rPr>
      </w:pPr>
      <w:r w:rsidRPr="008E3FEB">
        <w:rPr>
          <w:rFonts w:cstheme="minorHAnsi"/>
          <w:b/>
          <w:bCs/>
          <w:sz w:val="24"/>
          <w:szCs w:val="24"/>
          <w:lang w:eastAsia="en-IN"/>
        </w:rPr>
        <w:t>Approach for gradation of risk:</w:t>
      </w:r>
    </w:p>
    <w:p w14:paraId="65D3452D" w14:textId="77777777" w:rsidR="008E3FEB" w:rsidRDefault="008E3FEB" w:rsidP="008E3FEB">
      <w:pPr>
        <w:shd w:val="clear" w:color="auto" w:fill="FFFFFF"/>
        <w:contextualSpacing/>
        <w:jc w:val="both"/>
        <w:rPr>
          <w:rFonts w:cstheme="minorHAnsi"/>
          <w:sz w:val="24"/>
          <w:szCs w:val="24"/>
          <w:lang w:eastAsia="en-IN"/>
        </w:rPr>
      </w:pPr>
      <w:r w:rsidRPr="008E3FEB">
        <w:rPr>
          <w:rFonts w:cstheme="minorHAnsi"/>
          <w:sz w:val="24"/>
          <w:szCs w:val="24"/>
          <w:lang w:eastAsia="en-IN"/>
        </w:rPr>
        <w:t xml:space="preserve">The </w:t>
      </w:r>
      <w:r w:rsidR="0057631F">
        <w:rPr>
          <w:rFonts w:cstheme="minorHAnsi"/>
          <w:sz w:val="24"/>
          <w:szCs w:val="24"/>
          <w:lang w:eastAsia="en-IN"/>
        </w:rPr>
        <w:t xml:space="preserve">average </w:t>
      </w:r>
      <w:r w:rsidRPr="008E3FEB">
        <w:rPr>
          <w:rFonts w:cstheme="minorHAnsi"/>
          <w:sz w:val="24"/>
          <w:szCs w:val="24"/>
          <w:lang w:eastAsia="en-IN"/>
        </w:rPr>
        <w:t>rate of interest is arrived at based on the weighted average cost of funds, administrative costs, risk premium and profit margin.</w:t>
      </w:r>
      <w:r>
        <w:rPr>
          <w:rFonts w:cstheme="minorHAnsi"/>
          <w:sz w:val="24"/>
          <w:szCs w:val="24"/>
          <w:lang w:eastAsia="en-IN"/>
        </w:rPr>
        <w:t xml:space="preserve"> </w:t>
      </w:r>
      <w:r w:rsidRPr="008E3FEB">
        <w:rPr>
          <w:rFonts w:cstheme="minorHAnsi"/>
          <w:sz w:val="24"/>
          <w:szCs w:val="24"/>
          <w:lang w:eastAsia="en-IN"/>
        </w:rPr>
        <w:t>The decision to give a loan and the interest rate applicable to each loan account is assessed on a case to case basis, based on multiple parameters such as the type of asset being financed, borrower profile and repayment capacity, borrower’s other financial commitments, past repayment track record if any, the security for the loan as represented by the underlying assets, loan to value ratio, mode of payment, tenure of the loan, geography (location) of the borrower, end use of the asset etc. Such information is collated based on borrower inputs and field inspection by the company officials.</w:t>
      </w:r>
    </w:p>
    <w:p w14:paraId="7511B2ED" w14:textId="77777777" w:rsidR="00F16597" w:rsidRDefault="00F16597" w:rsidP="008E3FEB">
      <w:pPr>
        <w:shd w:val="clear" w:color="auto" w:fill="FFFFFF"/>
        <w:contextualSpacing/>
        <w:rPr>
          <w:rFonts w:cstheme="minorHAnsi"/>
          <w:b/>
          <w:bCs/>
          <w:sz w:val="24"/>
          <w:szCs w:val="24"/>
          <w:lang w:eastAsia="en-IN"/>
        </w:rPr>
      </w:pPr>
    </w:p>
    <w:p w14:paraId="430A174C" w14:textId="77777777" w:rsidR="008E3FEB" w:rsidRDefault="008E3FEB" w:rsidP="008E3FEB">
      <w:pPr>
        <w:shd w:val="clear" w:color="auto" w:fill="FFFFFF"/>
        <w:contextualSpacing/>
        <w:rPr>
          <w:rFonts w:cstheme="minorHAnsi"/>
          <w:b/>
          <w:bCs/>
          <w:sz w:val="24"/>
          <w:szCs w:val="24"/>
          <w:lang w:eastAsia="en-IN"/>
        </w:rPr>
      </w:pPr>
      <w:r w:rsidRPr="008E3FEB">
        <w:rPr>
          <w:rFonts w:cstheme="minorHAnsi"/>
          <w:b/>
          <w:bCs/>
          <w:sz w:val="24"/>
          <w:szCs w:val="24"/>
          <w:lang w:eastAsia="en-IN"/>
        </w:rPr>
        <w:t>Interest Rate Policy:</w:t>
      </w:r>
    </w:p>
    <w:p w14:paraId="752C9958" w14:textId="77777777" w:rsidR="008E3FEB" w:rsidRDefault="008E3FEB" w:rsidP="008E3FEB">
      <w:pPr>
        <w:contextualSpacing/>
        <w:rPr>
          <w:rFonts w:cstheme="minorHAnsi"/>
          <w:sz w:val="24"/>
          <w:szCs w:val="24"/>
        </w:rPr>
      </w:pPr>
      <w:r w:rsidRPr="00F14E84">
        <w:rPr>
          <w:rFonts w:cstheme="minorHAnsi"/>
          <w:sz w:val="24"/>
          <w:szCs w:val="24"/>
        </w:rPr>
        <w:t xml:space="preserve">The </w:t>
      </w:r>
      <w:r w:rsidR="001F37DF" w:rsidRPr="00F14E84">
        <w:rPr>
          <w:rFonts w:cstheme="minorHAnsi"/>
          <w:sz w:val="24"/>
          <w:szCs w:val="24"/>
        </w:rPr>
        <w:t>annualized</w:t>
      </w:r>
      <w:r w:rsidRPr="00F14E84">
        <w:rPr>
          <w:rFonts w:cstheme="minorHAnsi"/>
          <w:sz w:val="24"/>
          <w:szCs w:val="24"/>
        </w:rPr>
        <w:t xml:space="preserve"> rate of interest</w:t>
      </w:r>
      <w:r w:rsidR="00F97FD7">
        <w:rPr>
          <w:rFonts w:cstheme="minorHAnsi"/>
          <w:sz w:val="24"/>
          <w:szCs w:val="24"/>
        </w:rPr>
        <w:t>*</w:t>
      </w:r>
      <w:r w:rsidRPr="00F14E84">
        <w:rPr>
          <w:rFonts w:cstheme="minorHAnsi"/>
          <w:sz w:val="24"/>
          <w:szCs w:val="24"/>
        </w:rPr>
        <w:t xml:space="preserve"> generally charged to our customers shall be as below:</w:t>
      </w:r>
    </w:p>
    <w:p w14:paraId="4B03C3E6" w14:textId="77777777" w:rsidR="000057E9" w:rsidRDefault="000057E9" w:rsidP="008E3FEB">
      <w:pPr>
        <w:contextualSpacing/>
        <w:rPr>
          <w:rFonts w:cstheme="minorHAnsi"/>
          <w:sz w:val="24"/>
          <w:szCs w:val="24"/>
        </w:rPr>
      </w:pPr>
    </w:p>
    <w:p w14:paraId="6A7F1D01" w14:textId="77777777" w:rsidR="00A86FA6" w:rsidRPr="00173D36" w:rsidRDefault="001F37DF" w:rsidP="008E3FEB">
      <w:pPr>
        <w:contextualSpacing/>
        <w:rPr>
          <w:rFonts w:cstheme="minorHAnsi"/>
          <w:b/>
          <w:bCs/>
          <w:sz w:val="24"/>
          <w:szCs w:val="24"/>
        </w:rPr>
      </w:pPr>
      <w:r w:rsidRPr="00173D36">
        <w:rPr>
          <w:rFonts w:cstheme="minorHAnsi"/>
          <w:b/>
          <w:bCs/>
          <w:sz w:val="24"/>
          <w:szCs w:val="24"/>
        </w:rPr>
        <w:t>Wheels,</w:t>
      </w:r>
      <w:r w:rsidR="00A86FA6" w:rsidRPr="00173D36">
        <w:rPr>
          <w:rFonts w:cstheme="minorHAnsi"/>
          <w:b/>
          <w:bCs/>
          <w:sz w:val="24"/>
          <w:szCs w:val="24"/>
        </w:rPr>
        <w:t xml:space="preserve"> SME and Leasing Segment </w:t>
      </w:r>
    </w:p>
    <w:tbl>
      <w:tblPr>
        <w:tblW w:w="7941" w:type="dxa"/>
        <w:tblCellMar>
          <w:left w:w="0" w:type="dxa"/>
          <w:right w:w="0" w:type="dxa"/>
        </w:tblCellMar>
        <w:tblLook w:val="04A0" w:firstRow="1" w:lastRow="0" w:firstColumn="1" w:lastColumn="0" w:noHBand="0" w:noVBand="1"/>
      </w:tblPr>
      <w:tblGrid>
        <w:gridCol w:w="4138"/>
        <w:gridCol w:w="3803"/>
      </w:tblGrid>
      <w:tr w:rsidR="000057E9" w:rsidRPr="00173D36" w14:paraId="54274EC0" w14:textId="77777777" w:rsidTr="00A86FA6">
        <w:trPr>
          <w:trHeight w:val="44"/>
        </w:trPr>
        <w:tc>
          <w:tcPr>
            <w:tcW w:w="4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889006" w14:textId="77777777" w:rsidR="000057E9" w:rsidRPr="00173D36" w:rsidRDefault="000057E9" w:rsidP="000057E9">
            <w:pPr>
              <w:pStyle w:val="ListParagraph"/>
              <w:rPr>
                <w:rFonts w:cstheme="minorHAnsi"/>
                <w:sz w:val="24"/>
                <w:szCs w:val="24"/>
              </w:rPr>
            </w:pPr>
            <w:r w:rsidRPr="00173D36">
              <w:rPr>
                <w:rFonts w:cstheme="minorHAnsi"/>
                <w:sz w:val="24"/>
                <w:szCs w:val="24"/>
              </w:rPr>
              <w:t>Product Segment</w:t>
            </w:r>
          </w:p>
        </w:tc>
        <w:tc>
          <w:tcPr>
            <w:tcW w:w="38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09F5CA" w14:textId="77777777" w:rsidR="000057E9" w:rsidRPr="00173D36" w:rsidRDefault="000057E9" w:rsidP="000057E9">
            <w:pPr>
              <w:pStyle w:val="ListParagraph"/>
              <w:rPr>
                <w:rFonts w:cstheme="minorHAnsi"/>
                <w:sz w:val="24"/>
                <w:szCs w:val="24"/>
              </w:rPr>
            </w:pPr>
            <w:r w:rsidRPr="00173D36">
              <w:rPr>
                <w:rFonts w:cstheme="minorHAnsi"/>
                <w:sz w:val="24"/>
                <w:szCs w:val="24"/>
              </w:rPr>
              <w:t>Rate Range</w:t>
            </w:r>
          </w:p>
        </w:tc>
      </w:tr>
      <w:tr w:rsidR="000057E9" w:rsidRPr="00173D36" w14:paraId="4736F2A2" w14:textId="77777777" w:rsidTr="00A86FA6">
        <w:trPr>
          <w:trHeight w:val="44"/>
        </w:trPr>
        <w:tc>
          <w:tcPr>
            <w:tcW w:w="4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050C12" w14:textId="77777777" w:rsidR="000057E9" w:rsidRPr="00173D36" w:rsidRDefault="000057E9" w:rsidP="000057E9">
            <w:pPr>
              <w:pStyle w:val="ListParagraph"/>
              <w:rPr>
                <w:rFonts w:cstheme="minorHAnsi"/>
                <w:sz w:val="24"/>
                <w:szCs w:val="24"/>
              </w:rPr>
            </w:pPr>
            <w:r w:rsidRPr="00173D36">
              <w:rPr>
                <w:rFonts w:cstheme="minorHAnsi"/>
                <w:sz w:val="24"/>
                <w:szCs w:val="24"/>
              </w:rPr>
              <w:t>New Assets (except 3 wheelers)</w:t>
            </w:r>
            <w:r w:rsidR="00250F60">
              <w:rPr>
                <w:rFonts w:cstheme="minorHAnsi"/>
                <w:sz w:val="24"/>
                <w:szCs w:val="24"/>
              </w:rPr>
              <w:t>**</w:t>
            </w:r>
          </w:p>
        </w:tc>
        <w:tc>
          <w:tcPr>
            <w:tcW w:w="38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ACCCBA" w14:textId="77777777" w:rsidR="000057E9" w:rsidRPr="00173D36" w:rsidRDefault="000057E9" w:rsidP="000057E9">
            <w:pPr>
              <w:pStyle w:val="ListParagraph"/>
              <w:rPr>
                <w:rFonts w:cstheme="minorHAnsi"/>
                <w:sz w:val="24"/>
                <w:szCs w:val="24"/>
              </w:rPr>
            </w:pPr>
            <w:r w:rsidRPr="00173D36">
              <w:rPr>
                <w:rFonts w:cstheme="minorHAnsi"/>
                <w:sz w:val="24"/>
                <w:szCs w:val="24"/>
              </w:rPr>
              <w:t>8% - 25%</w:t>
            </w:r>
          </w:p>
        </w:tc>
      </w:tr>
      <w:tr w:rsidR="000057E9" w:rsidRPr="00173D36" w14:paraId="27379A2A" w14:textId="77777777" w:rsidTr="00A86FA6">
        <w:trPr>
          <w:trHeight w:val="44"/>
        </w:trPr>
        <w:tc>
          <w:tcPr>
            <w:tcW w:w="4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071362" w14:textId="77777777" w:rsidR="000057E9" w:rsidRPr="00173D36" w:rsidRDefault="000057E9" w:rsidP="000057E9">
            <w:pPr>
              <w:pStyle w:val="ListParagraph"/>
              <w:rPr>
                <w:rFonts w:cstheme="minorHAnsi"/>
                <w:sz w:val="24"/>
                <w:szCs w:val="24"/>
              </w:rPr>
            </w:pPr>
            <w:r w:rsidRPr="00173D36">
              <w:rPr>
                <w:rFonts w:cstheme="minorHAnsi"/>
                <w:sz w:val="24"/>
                <w:szCs w:val="24"/>
              </w:rPr>
              <w:t>Pre-Owned Assets, 3 wheelers</w:t>
            </w:r>
          </w:p>
        </w:tc>
        <w:tc>
          <w:tcPr>
            <w:tcW w:w="38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7F6AFA" w14:textId="77777777" w:rsidR="000057E9" w:rsidRPr="00173D36" w:rsidRDefault="000057E9" w:rsidP="000057E9">
            <w:pPr>
              <w:pStyle w:val="ListParagraph"/>
              <w:rPr>
                <w:rFonts w:cstheme="minorHAnsi"/>
                <w:sz w:val="24"/>
                <w:szCs w:val="24"/>
              </w:rPr>
            </w:pPr>
            <w:r w:rsidRPr="00173D36">
              <w:rPr>
                <w:rFonts w:cstheme="minorHAnsi"/>
                <w:sz w:val="24"/>
                <w:szCs w:val="24"/>
              </w:rPr>
              <w:t>8% - 25%</w:t>
            </w:r>
          </w:p>
        </w:tc>
      </w:tr>
      <w:tr w:rsidR="000057E9" w:rsidRPr="00173D36" w14:paraId="0D5F2805" w14:textId="77777777" w:rsidTr="00A86FA6">
        <w:trPr>
          <w:trHeight w:val="44"/>
        </w:trPr>
        <w:tc>
          <w:tcPr>
            <w:tcW w:w="4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221095" w14:textId="77777777" w:rsidR="000057E9" w:rsidRPr="00173D36" w:rsidRDefault="000057E9" w:rsidP="000057E9">
            <w:pPr>
              <w:pStyle w:val="ListParagraph"/>
              <w:rPr>
                <w:rFonts w:cstheme="minorHAnsi"/>
                <w:sz w:val="24"/>
                <w:szCs w:val="24"/>
              </w:rPr>
            </w:pPr>
            <w:r w:rsidRPr="00173D36">
              <w:rPr>
                <w:rFonts w:cstheme="minorHAnsi"/>
                <w:sz w:val="24"/>
                <w:szCs w:val="24"/>
              </w:rPr>
              <w:lastRenderedPageBreak/>
              <w:t>Personal/ Consumer loans</w:t>
            </w:r>
          </w:p>
        </w:tc>
        <w:tc>
          <w:tcPr>
            <w:tcW w:w="38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E2D702" w14:textId="77777777" w:rsidR="000057E9" w:rsidRPr="00173D36" w:rsidRDefault="000057E9" w:rsidP="000057E9">
            <w:pPr>
              <w:pStyle w:val="ListParagraph"/>
              <w:rPr>
                <w:rFonts w:cstheme="minorHAnsi"/>
                <w:sz w:val="24"/>
                <w:szCs w:val="24"/>
              </w:rPr>
            </w:pPr>
            <w:r w:rsidRPr="00173D36">
              <w:rPr>
                <w:rFonts w:cstheme="minorHAnsi"/>
                <w:sz w:val="24"/>
                <w:szCs w:val="24"/>
              </w:rPr>
              <w:t>8% - 25%</w:t>
            </w:r>
          </w:p>
        </w:tc>
      </w:tr>
      <w:tr w:rsidR="000057E9" w:rsidRPr="00173D36" w14:paraId="761EF649" w14:textId="77777777" w:rsidTr="00A86FA6">
        <w:trPr>
          <w:trHeight w:val="44"/>
        </w:trPr>
        <w:tc>
          <w:tcPr>
            <w:tcW w:w="4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8EF573" w14:textId="77777777" w:rsidR="000057E9" w:rsidRPr="00173D36" w:rsidRDefault="000057E9" w:rsidP="000057E9">
            <w:pPr>
              <w:pStyle w:val="ListParagraph"/>
              <w:rPr>
                <w:rFonts w:cstheme="minorHAnsi"/>
                <w:sz w:val="24"/>
                <w:szCs w:val="24"/>
              </w:rPr>
            </w:pPr>
            <w:r w:rsidRPr="00173D36">
              <w:rPr>
                <w:rFonts w:cstheme="minorHAnsi"/>
                <w:sz w:val="24"/>
                <w:szCs w:val="24"/>
              </w:rPr>
              <w:t>SME/ Working Capital financing (except unsecured loan)</w:t>
            </w:r>
          </w:p>
        </w:tc>
        <w:tc>
          <w:tcPr>
            <w:tcW w:w="38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6B0802" w14:textId="77777777" w:rsidR="000057E9" w:rsidRPr="00173D36" w:rsidRDefault="000057E9" w:rsidP="000057E9">
            <w:pPr>
              <w:pStyle w:val="ListParagraph"/>
              <w:rPr>
                <w:rFonts w:cstheme="minorHAnsi"/>
                <w:sz w:val="24"/>
                <w:szCs w:val="24"/>
              </w:rPr>
            </w:pPr>
            <w:r w:rsidRPr="00173D36">
              <w:rPr>
                <w:rFonts w:cstheme="minorHAnsi"/>
                <w:sz w:val="24"/>
                <w:szCs w:val="24"/>
              </w:rPr>
              <w:t>7% - 20%</w:t>
            </w:r>
          </w:p>
        </w:tc>
      </w:tr>
      <w:tr w:rsidR="000057E9" w:rsidRPr="00173D36" w14:paraId="091D0A7B" w14:textId="77777777" w:rsidTr="00A86FA6">
        <w:trPr>
          <w:trHeight w:val="44"/>
        </w:trPr>
        <w:tc>
          <w:tcPr>
            <w:tcW w:w="4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DB4C40" w14:textId="77777777" w:rsidR="000057E9" w:rsidRPr="00173D36" w:rsidRDefault="000057E9" w:rsidP="000057E9">
            <w:pPr>
              <w:pStyle w:val="ListParagraph"/>
              <w:rPr>
                <w:rFonts w:cstheme="minorHAnsi"/>
                <w:sz w:val="24"/>
                <w:szCs w:val="24"/>
              </w:rPr>
            </w:pPr>
            <w:r w:rsidRPr="00173D36">
              <w:rPr>
                <w:rFonts w:cstheme="minorHAnsi"/>
                <w:sz w:val="24"/>
                <w:szCs w:val="24"/>
              </w:rPr>
              <w:t>SME/ Working Capital financing (unsecured loan)</w:t>
            </w:r>
          </w:p>
        </w:tc>
        <w:tc>
          <w:tcPr>
            <w:tcW w:w="38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09054C" w14:textId="77777777" w:rsidR="000057E9" w:rsidRPr="00173D36" w:rsidRDefault="000057E9" w:rsidP="000057E9">
            <w:pPr>
              <w:pStyle w:val="ListParagraph"/>
              <w:rPr>
                <w:rFonts w:cstheme="minorHAnsi"/>
                <w:sz w:val="24"/>
                <w:szCs w:val="24"/>
              </w:rPr>
            </w:pPr>
            <w:r w:rsidRPr="00173D36">
              <w:rPr>
                <w:rFonts w:cstheme="minorHAnsi"/>
                <w:sz w:val="24"/>
                <w:szCs w:val="24"/>
              </w:rPr>
              <w:t>8% - 25%</w:t>
            </w:r>
          </w:p>
        </w:tc>
      </w:tr>
      <w:tr w:rsidR="000057E9" w:rsidRPr="00173D36" w14:paraId="5504C119" w14:textId="77777777" w:rsidTr="00A86FA6">
        <w:trPr>
          <w:trHeight w:val="44"/>
        </w:trPr>
        <w:tc>
          <w:tcPr>
            <w:tcW w:w="4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27CA4E" w14:textId="77777777" w:rsidR="000057E9" w:rsidRPr="00173D36" w:rsidRDefault="000057E9" w:rsidP="000057E9">
            <w:pPr>
              <w:pStyle w:val="ListParagraph"/>
              <w:rPr>
                <w:rFonts w:cstheme="minorHAnsi"/>
                <w:sz w:val="24"/>
                <w:szCs w:val="24"/>
              </w:rPr>
            </w:pPr>
            <w:r w:rsidRPr="00173D36">
              <w:rPr>
                <w:rFonts w:cstheme="minorHAnsi"/>
                <w:sz w:val="24"/>
                <w:szCs w:val="24"/>
              </w:rPr>
              <w:t>Partnership business</w:t>
            </w:r>
          </w:p>
        </w:tc>
        <w:tc>
          <w:tcPr>
            <w:tcW w:w="38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88DFF7" w14:textId="77777777" w:rsidR="000057E9" w:rsidRPr="00173D36" w:rsidRDefault="000057E9" w:rsidP="000057E9">
            <w:pPr>
              <w:pStyle w:val="ListParagraph"/>
              <w:rPr>
                <w:rFonts w:cstheme="minorHAnsi"/>
                <w:sz w:val="24"/>
                <w:szCs w:val="24"/>
              </w:rPr>
            </w:pPr>
            <w:r w:rsidRPr="00173D36">
              <w:rPr>
                <w:rFonts w:cstheme="minorHAnsi"/>
                <w:sz w:val="24"/>
                <w:szCs w:val="24"/>
              </w:rPr>
              <w:t>8% - 25%</w:t>
            </w:r>
          </w:p>
        </w:tc>
      </w:tr>
      <w:tr w:rsidR="000057E9" w:rsidRPr="00173D36" w14:paraId="55DA194A" w14:textId="77777777" w:rsidTr="00A86FA6">
        <w:trPr>
          <w:trHeight w:val="44"/>
        </w:trPr>
        <w:tc>
          <w:tcPr>
            <w:tcW w:w="4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70C907" w14:textId="77777777" w:rsidR="000057E9" w:rsidRPr="00173D36" w:rsidRDefault="000057E9" w:rsidP="000057E9">
            <w:pPr>
              <w:pStyle w:val="ListParagraph"/>
              <w:rPr>
                <w:rFonts w:cstheme="minorHAnsi"/>
                <w:sz w:val="24"/>
                <w:szCs w:val="24"/>
              </w:rPr>
            </w:pPr>
            <w:r w:rsidRPr="00173D36">
              <w:rPr>
                <w:rFonts w:cstheme="minorHAnsi"/>
                <w:sz w:val="24"/>
                <w:szCs w:val="24"/>
              </w:rPr>
              <w:t>Leasing (Retail and corporate)</w:t>
            </w:r>
          </w:p>
        </w:tc>
        <w:tc>
          <w:tcPr>
            <w:tcW w:w="38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DCEF6E" w14:textId="77777777" w:rsidR="000057E9" w:rsidRPr="00173D36" w:rsidRDefault="000057E9" w:rsidP="000057E9">
            <w:pPr>
              <w:pStyle w:val="ListParagraph"/>
              <w:rPr>
                <w:rFonts w:cstheme="minorHAnsi"/>
                <w:sz w:val="24"/>
                <w:szCs w:val="24"/>
              </w:rPr>
            </w:pPr>
            <w:r w:rsidRPr="00173D36">
              <w:rPr>
                <w:rFonts w:cstheme="minorHAnsi"/>
                <w:sz w:val="24"/>
                <w:szCs w:val="24"/>
              </w:rPr>
              <w:t>7% - 20%</w:t>
            </w:r>
          </w:p>
        </w:tc>
      </w:tr>
    </w:tbl>
    <w:p w14:paraId="2B090CEB" w14:textId="77777777" w:rsidR="00A86FA6" w:rsidRPr="00173D36" w:rsidRDefault="00A86FA6" w:rsidP="009F5764">
      <w:pPr>
        <w:ind w:left="142" w:right="567" w:hanging="142"/>
        <w:jc w:val="both"/>
      </w:pPr>
    </w:p>
    <w:p w14:paraId="15414F77" w14:textId="77777777" w:rsidR="00A86FA6" w:rsidRPr="00173D36" w:rsidRDefault="00A86FA6" w:rsidP="009F5764">
      <w:pPr>
        <w:ind w:left="142" w:right="567" w:hanging="142"/>
        <w:jc w:val="both"/>
        <w:rPr>
          <w:b/>
          <w:bCs/>
        </w:rPr>
      </w:pPr>
      <w:r w:rsidRPr="00173D36">
        <w:rPr>
          <w:b/>
          <w:bCs/>
        </w:rPr>
        <w:t xml:space="preserve">Mortgage, Housing and Affordable Housing </w:t>
      </w:r>
      <w:r w:rsidR="001F37DF" w:rsidRPr="00173D36">
        <w:rPr>
          <w:b/>
          <w:bCs/>
        </w:rPr>
        <w:t>segment.</w:t>
      </w:r>
      <w:r w:rsidRPr="00173D36">
        <w:rPr>
          <w:b/>
          <w:bCs/>
        </w:rPr>
        <w:t xml:space="preserve"> </w:t>
      </w:r>
    </w:p>
    <w:tbl>
      <w:tblPr>
        <w:tblW w:w="7980" w:type="dxa"/>
        <w:tblCellMar>
          <w:left w:w="0" w:type="dxa"/>
          <w:right w:w="0" w:type="dxa"/>
        </w:tblCellMar>
        <w:tblLook w:val="04A0" w:firstRow="1" w:lastRow="0" w:firstColumn="1" w:lastColumn="0" w:noHBand="0" w:noVBand="1"/>
      </w:tblPr>
      <w:tblGrid>
        <w:gridCol w:w="4158"/>
        <w:gridCol w:w="3822"/>
      </w:tblGrid>
      <w:tr w:rsidR="00A86FA6" w:rsidRPr="00173D36" w14:paraId="4BF02D28" w14:textId="77777777" w:rsidTr="003A2892">
        <w:trPr>
          <w:trHeight w:val="51"/>
        </w:trPr>
        <w:tc>
          <w:tcPr>
            <w:tcW w:w="41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9255A3" w14:textId="77777777" w:rsidR="00A86FA6" w:rsidRPr="00173D36" w:rsidRDefault="00A86FA6" w:rsidP="003A2892">
            <w:pPr>
              <w:pStyle w:val="ListParagraph"/>
              <w:rPr>
                <w:rFonts w:cstheme="minorHAnsi"/>
                <w:sz w:val="24"/>
                <w:szCs w:val="24"/>
              </w:rPr>
            </w:pPr>
            <w:r w:rsidRPr="00173D36">
              <w:rPr>
                <w:rFonts w:cstheme="minorHAnsi"/>
                <w:sz w:val="24"/>
                <w:szCs w:val="24"/>
              </w:rPr>
              <w:t>Product Segment</w:t>
            </w:r>
          </w:p>
        </w:tc>
        <w:tc>
          <w:tcPr>
            <w:tcW w:w="38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9EBF3AE" w14:textId="77777777" w:rsidR="00A86FA6" w:rsidRPr="00173D36" w:rsidRDefault="00A86FA6" w:rsidP="003A2892">
            <w:pPr>
              <w:pStyle w:val="ListParagraph"/>
              <w:rPr>
                <w:rFonts w:cstheme="minorHAnsi"/>
                <w:sz w:val="24"/>
                <w:szCs w:val="24"/>
              </w:rPr>
            </w:pPr>
            <w:r w:rsidRPr="00173D36">
              <w:rPr>
                <w:rFonts w:cstheme="minorHAnsi"/>
                <w:sz w:val="24"/>
                <w:szCs w:val="24"/>
              </w:rPr>
              <w:t xml:space="preserve"> </w:t>
            </w:r>
            <w:r w:rsidR="00B14024" w:rsidRPr="00173D36">
              <w:rPr>
                <w:rFonts w:cstheme="minorHAnsi"/>
                <w:sz w:val="24"/>
                <w:szCs w:val="24"/>
              </w:rPr>
              <w:t>R</w:t>
            </w:r>
            <w:r w:rsidRPr="00173D36">
              <w:rPr>
                <w:rFonts w:cstheme="minorHAnsi"/>
                <w:sz w:val="24"/>
                <w:szCs w:val="24"/>
              </w:rPr>
              <w:t xml:space="preserve">ate </w:t>
            </w:r>
            <w:r w:rsidR="00B14024" w:rsidRPr="00173D36">
              <w:rPr>
                <w:rFonts w:cstheme="minorHAnsi"/>
                <w:sz w:val="24"/>
                <w:szCs w:val="24"/>
              </w:rPr>
              <w:t xml:space="preserve">Range </w:t>
            </w:r>
          </w:p>
        </w:tc>
      </w:tr>
      <w:tr w:rsidR="00A86FA6" w:rsidRPr="00173D36" w14:paraId="22B2A25E" w14:textId="77777777" w:rsidTr="00A86FA6">
        <w:trPr>
          <w:trHeight w:val="51"/>
        </w:trPr>
        <w:tc>
          <w:tcPr>
            <w:tcW w:w="41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01344B" w14:textId="77777777" w:rsidR="00A86FA6" w:rsidRPr="00173D36" w:rsidRDefault="00A86FA6" w:rsidP="003A2892">
            <w:pPr>
              <w:pStyle w:val="ListParagraph"/>
              <w:rPr>
                <w:rFonts w:cstheme="minorHAnsi"/>
                <w:sz w:val="24"/>
                <w:szCs w:val="24"/>
              </w:rPr>
            </w:pPr>
            <w:r w:rsidRPr="00173D36">
              <w:rPr>
                <w:rFonts w:cstheme="minorHAnsi"/>
                <w:sz w:val="24"/>
                <w:szCs w:val="24"/>
              </w:rPr>
              <w:t xml:space="preserve">Affordable Housing rate for Salaried </w:t>
            </w:r>
          </w:p>
        </w:tc>
        <w:tc>
          <w:tcPr>
            <w:tcW w:w="38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13FF624" w14:textId="77777777" w:rsidR="00A86FA6" w:rsidRPr="00173D36" w:rsidRDefault="00A86FA6" w:rsidP="003A2892">
            <w:pPr>
              <w:pStyle w:val="ListParagraph"/>
              <w:rPr>
                <w:rFonts w:cstheme="minorHAnsi"/>
                <w:sz w:val="24"/>
                <w:szCs w:val="24"/>
              </w:rPr>
            </w:pPr>
            <w:r w:rsidRPr="00173D36">
              <w:rPr>
                <w:rFonts w:cstheme="minorHAnsi"/>
                <w:sz w:val="24"/>
                <w:szCs w:val="24"/>
              </w:rPr>
              <w:t>8.5%</w:t>
            </w:r>
            <w:r w:rsidR="00B14024" w:rsidRPr="00173D36">
              <w:rPr>
                <w:rFonts w:cstheme="minorHAnsi"/>
                <w:sz w:val="24"/>
                <w:szCs w:val="24"/>
              </w:rPr>
              <w:t xml:space="preserve"> - 18%</w:t>
            </w:r>
            <w:r w:rsidRPr="00173D36">
              <w:rPr>
                <w:rFonts w:cstheme="minorHAnsi"/>
                <w:sz w:val="24"/>
                <w:szCs w:val="24"/>
              </w:rPr>
              <w:t xml:space="preserve"> for bank salary </w:t>
            </w:r>
          </w:p>
          <w:p w14:paraId="4DD29533" w14:textId="77777777" w:rsidR="00A86FA6" w:rsidRPr="00173D36" w:rsidRDefault="00A86FA6" w:rsidP="003A2892">
            <w:pPr>
              <w:pStyle w:val="ListParagraph"/>
              <w:rPr>
                <w:rFonts w:cstheme="minorHAnsi"/>
                <w:sz w:val="24"/>
                <w:szCs w:val="24"/>
              </w:rPr>
            </w:pPr>
            <w:r w:rsidRPr="00173D36">
              <w:rPr>
                <w:rFonts w:cstheme="minorHAnsi"/>
                <w:sz w:val="24"/>
                <w:szCs w:val="24"/>
              </w:rPr>
              <w:t>10%</w:t>
            </w:r>
            <w:r w:rsidR="00B14024" w:rsidRPr="00173D36">
              <w:rPr>
                <w:rFonts w:cstheme="minorHAnsi"/>
                <w:sz w:val="24"/>
                <w:szCs w:val="24"/>
              </w:rPr>
              <w:t xml:space="preserve"> - 20% for Cash</w:t>
            </w:r>
            <w:r w:rsidRPr="00173D36">
              <w:rPr>
                <w:rFonts w:cstheme="minorHAnsi"/>
                <w:sz w:val="24"/>
                <w:szCs w:val="24"/>
              </w:rPr>
              <w:t xml:space="preserve"> Salaried/ Partnership / Proprietorship employee</w:t>
            </w:r>
          </w:p>
        </w:tc>
      </w:tr>
      <w:tr w:rsidR="00A86FA6" w:rsidRPr="00173D36" w14:paraId="5692508C" w14:textId="77777777" w:rsidTr="00A86FA6">
        <w:trPr>
          <w:trHeight w:val="51"/>
        </w:trPr>
        <w:tc>
          <w:tcPr>
            <w:tcW w:w="41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0BA5A6" w14:textId="77777777" w:rsidR="00A86FA6" w:rsidRPr="00173D36" w:rsidRDefault="00A86FA6" w:rsidP="003A2892">
            <w:pPr>
              <w:pStyle w:val="ListParagraph"/>
              <w:rPr>
                <w:rFonts w:cstheme="minorHAnsi"/>
                <w:sz w:val="24"/>
                <w:szCs w:val="24"/>
              </w:rPr>
            </w:pPr>
            <w:r w:rsidRPr="00173D36">
              <w:rPr>
                <w:rFonts w:cstheme="minorHAnsi"/>
                <w:sz w:val="24"/>
                <w:szCs w:val="24"/>
              </w:rPr>
              <w:t>Affordable Housing rate for Self Employed</w:t>
            </w:r>
          </w:p>
        </w:tc>
        <w:tc>
          <w:tcPr>
            <w:tcW w:w="38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DE9F4D" w14:textId="77777777" w:rsidR="00A86FA6" w:rsidRPr="00173D36" w:rsidRDefault="00A86FA6" w:rsidP="003A2892">
            <w:pPr>
              <w:pStyle w:val="ListParagraph"/>
              <w:rPr>
                <w:rFonts w:cstheme="minorHAnsi"/>
                <w:sz w:val="24"/>
                <w:szCs w:val="24"/>
              </w:rPr>
            </w:pPr>
            <w:r w:rsidRPr="00173D36">
              <w:rPr>
                <w:rFonts w:cstheme="minorHAnsi"/>
                <w:sz w:val="24"/>
                <w:szCs w:val="24"/>
              </w:rPr>
              <w:t>9%</w:t>
            </w:r>
            <w:r w:rsidR="00B14024" w:rsidRPr="00173D36">
              <w:rPr>
                <w:rFonts w:cstheme="minorHAnsi"/>
                <w:sz w:val="24"/>
                <w:szCs w:val="24"/>
              </w:rPr>
              <w:t xml:space="preserve"> - 18%</w:t>
            </w:r>
            <w:r w:rsidRPr="00173D36">
              <w:rPr>
                <w:rFonts w:cstheme="minorHAnsi"/>
                <w:sz w:val="24"/>
                <w:szCs w:val="24"/>
              </w:rPr>
              <w:t xml:space="preserve"> </w:t>
            </w:r>
          </w:p>
        </w:tc>
      </w:tr>
      <w:tr w:rsidR="00A86FA6" w:rsidRPr="00173D36" w14:paraId="1FD4FE9B" w14:textId="77777777" w:rsidTr="00A86FA6">
        <w:trPr>
          <w:trHeight w:val="51"/>
        </w:trPr>
        <w:tc>
          <w:tcPr>
            <w:tcW w:w="41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28E333" w14:textId="77777777" w:rsidR="00A86FA6" w:rsidRPr="00173D36" w:rsidRDefault="00A86FA6" w:rsidP="003A2892">
            <w:pPr>
              <w:pStyle w:val="ListParagraph"/>
              <w:rPr>
                <w:rFonts w:cstheme="minorHAnsi"/>
                <w:sz w:val="24"/>
                <w:szCs w:val="24"/>
              </w:rPr>
            </w:pPr>
            <w:r w:rsidRPr="00173D36">
              <w:rPr>
                <w:rFonts w:cstheme="minorHAnsi"/>
                <w:sz w:val="24"/>
                <w:szCs w:val="24"/>
              </w:rPr>
              <w:t xml:space="preserve">Housing Loan prime </w:t>
            </w:r>
          </w:p>
        </w:tc>
        <w:tc>
          <w:tcPr>
            <w:tcW w:w="38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9A0FB4A" w14:textId="77777777" w:rsidR="00A86FA6" w:rsidRPr="00173D36" w:rsidRDefault="00A86FA6" w:rsidP="003A2892">
            <w:pPr>
              <w:pStyle w:val="ListParagraph"/>
              <w:rPr>
                <w:rFonts w:cstheme="minorHAnsi"/>
                <w:sz w:val="24"/>
                <w:szCs w:val="24"/>
              </w:rPr>
            </w:pPr>
            <w:r w:rsidRPr="00173D36">
              <w:rPr>
                <w:rFonts w:cstheme="minorHAnsi"/>
                <w:sz w:val="24"/>
                <w:szCs w:val="24"/>
              </w:rPr>
              <w:t>7.5%</w:t>
            </w:r>
            <w:r w:rsidR="00B14024" w:rsidRPr="00173D36">
              <w:rPr>
                <w:rFonts w:cstheme="minorHAnsi"/>
                <w:sz w:val="24"/>
                <w:szCs w:val="24"/>
              </w:rPr>
              <w:t xml:space="preserve"> - 15%</w:t>
            </w:r>
          </w:p>
        </w:tc>
      </w:tr>
      <w:tr w:rsidR="00A86FA6" w:rsidRPr="00173D36" w14:paraId="15D7E898" w14:textId="77777777" w:rsidTr="00A86FA6">
        <w:trPr>
          <w:trHeight w:val="51"/>
        </w:trPr>
        <w:tc>
          <w:tcPr>
            <w:tcW w:w="41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938470A" w14:textId="77777777" w:rsidR="00A86FA6" w:rsidRPr="00173D36" w:rsidRDefault="00A86FA6" w:rsidP="003A2892">
            <w:pPr>
              <w:pStyle w:val="ListParagraph"/>
              <w:rPr>
                <w:rFonts w:cstheme="minorHAnsi"/>
                <w:sz w:val="24"/>
                <w:szCs w:val="24"/>
              </w:rPr>
            </w:pPr>
            <w:r w:rsidRPr="00173D36">
              <w:rPr>
                <w:rFonts w:cstheme="minorHAnsi"/>
                <w:sz w:val="24"/>
                <w:szCs w:val="24"/>
              </w:rPr>
              <w:t xml:space="preserve">Personal Loan </w:t>
            </w:r>
            <w:r w:rsidR="00B14024" w:rsidRPr="00173D36">
              <w:rPr>
                <w:rFonts w:cstheme="minorHAnsi"/>
                <w:sz w:val="24"/>
                <w:szCs w:val="24"/>
              </w:rPr>
              <w:t xml:space="preserve">to Prime and AH-BH loan customers </w:t>
            </w:r>
          </w:p>
        </w:tc>
        <w:tc>
          <w:tcPr>
            <w:tcW w:w="38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F0A3675" w14:textId="77777777" w:rsidR="00A86FA6" w:rsidRPr="00173D36" w:rsidRDefault="00A86FA6" w:rsidP="003A2892">
            <w:pPr>
              <w:pStyle w:val="ListParagraph"/>
              <w:rPr>
                <w:rFonts w:cstheme="minorHAnsi"/>
                <w:sz w:val="24"/>
                <w:szCs w:val="24"/>
              </w:rPr>
            </w:pPr>
            <w:r w:rsidRPr="00173D36">
              <w:rPr>
                <w:rFonts w:cstheme="minorHAnsi"/>
                <w:sz w:val="24"/>
                <w:szCs w:val="24"/>
              </w:rPr>
              <w:t>7.5%</w:t>
            </w:r>
            <w:r w:rsidR="00B14024" w:rsidRPr="00173D36">
              <w:rPr>
                <w:rFonts w:cstheme="minorHAnsi"/>
                <w:sz w:val="24"/>
                <w:szCs w:val="24"/>
              </w:rPr>
              <w:t xml:space="preserve"> - 30% </w:t>
            </w:r>
          </w:p>
        </w:tc>
      </w:tr>
      <w:tr w:rsidR="00A86FA6" w:rsidRPr="00173D36" w14:paraId="56B2AD0A" w14:textId="77777777" w:rsidTr="00A86FA6">
        <w:trPr>
          <w:trHeight w:val="51"/>
        </w:trPr>
        <w:tc>
          <w:tcPr>
            <w:tcW w:w="41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02CAA4" w14:textId="77777777" w:rsidR="00A86FA6" w:rsidRPr="00173D36" w:rsidRDefault="00A86FA6" w:rsidP="003A2892">
            <w:pPr>
              <w:pStyle w:val="ListParagraph"/>
              <w:rPr>
                <w:rFonts w:cstheme="minorHAnsi"/>
                <w:sz w:val="24"/>
                <w:szCs w:val="24"/>
              </w:rPr>
            </w:pPr>
            <w:r w:rsidRPr="00173D36">
              <w:rPr>
                <w:rFonts w:cstheme="minorHAnsi"/>
                <w:sz w:val="24"/>
                <w:szCs w:val="24"/>
              </w:rPr>
              <w:t xml:space="preserve">Non-Housing Loans </w:t>
            </w:r>
          </w:p>
        </w:tc>
        <w:tc>
          <w:tcPr>
            <w:tcW w:w="38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124AAA0" w14:textId="77777777" w:rsidR="00A86FA6" w:rsidRPr="00173D36" w:rsidRDefault="00A86FA6" w:rsidP="003A2892">
            <w:pPr>
              <w:pStyle w:val="ListParagraph"/>
              <w:rPr>
                <w:rFonts w:cstheme="minorHAnsi"/>
                <w:sz w:val="24"/>
                <w:szCs w:val="24"/>
              </w:rPr>
            </w:pPr>
            <w:r w:rsidRPr="00173D36">
              <w:rPr>
                <w:rFonts w:cstheme="minorHAnsi"/>
                <w:sz w:val="24"/>
                <w:szCs w:val="24"/>
              </w:rPr>
              <w:t>7.50%</w:t>
            </w:r>
            <w:r w:rsidR="00F736B1" w:rsidRPr="00173D36">
              <w:rPr>
                <w:rFonts w:cstheme="minorHAnsi"/>
                <w:sz w:val="24"/>
                <w:szCs w:val="24"/>
              </w:rPr>
              <w:t xml:space="preserve"> - 30%</w:t>
            </w:r>
            <w:r w:rsidRPr="00173D36">
              <w:rPr>
                <w:rFonts w:cstheme="minorHAnsi"/>
                <w:sz w:val="24"/>
                <w:szCs w:val="24"/>
              </w:rPr>
              <w:t xml:space="preserve"> </w:t>
            </w:r>
          </w:p>
        </w:tc>
      </w:tr>
    </w:tbl>
    <w:p w14:paraId="1FA54E92" w14:textId="77777777" w:rsidR="009F5764" w:rsidRDefault="00F97FD7" w:rsidP="009F5764">
      <w:pPr>
        <w:ind w:left="142" w:right="567" w:hanging="142"/>
        <w:jc w:val="both"/>
      </w:pPr>
      <w:r>
        <w:t>*</w:t>
      </w:r>
      <w:r w:rsidR="001F37DF" w:rsidRPr="00F97FD7">
        <w:rPr>
          <w:sz w:val="20"/>
          <w:szCs w:val="20"/>
        </w:rPr>
        <w:t>Annualized</w:t>
      </w:r>
      <w:r w:rsidRPr="00F97FD7">
        <w:rPr>
          <w:sz w:val="20"/>
          <w:szCs w:val="20"/>
        </w:rPr>
        <w:t xml:space="preserve"> rate of </w:t>
      </w:r>
      <w:r w:rsidR="001F37DF" w:rsidRPr="00F97FD7">
        <w:rPr>
          <w:sz w:val="20"/>
          <w:szCs w:val="20"/>
        </w:rPr>
        <w:t>interest</w:t>
      </w:r>
      <w:r w:rsidRPr="00F97FD7">
        <w:rPr>
          <w:sz w:val="20"/>
          <w:szCs w:val="20"/>
        </w:rPr>
        <w:t xml:space="preserve"> does not include processing </w:t>
      </w:r>
      <w:r w:rsidR="001F37DF" w:rsidRPr="00F97FD7">
        <w:rPr>
          <w:sz w:val="20"/>
          <w:szCs w:val="20"/>
        </w:rPr>
        <w:t>charges;</w:t>
      </w:r>
      <w:r w:rsidRPr="00F97FD7">
        <w:rPr>
          <w:sz w:val="20"/>
          <w:szCs w:val="20"/>
        </w:rPr>
        <w:t xml:space="preserve"> subvention received from dealer or any such income in relation to said loan</w:t>
      </w:r>
      <w:r w:rsidRPr="00F97FD7">
        <w:t>.</w:t>
      </w:r>
    </w:p>
    <w:p w14:paraId="23C40D22" w14:textId="77777777" w:rsidR="0006541A" w:rsidRPr="00FC2871" w:rsidRDefault="009F5764" w:rsidP="00F97FD7">
      <w:pPr>
        <w:ind w:left="142" w:right="567" w:hanging="142"/>
        <w:jc w:val="both"/>
        <w:rPr>
          <w:sz w:val="20"/>
          <w:szCs w:val="20"/>
          <w:lang w:val="en-IN"/>
        </w:rPr>
      </w:pPr>
      <w:r>
        <w:rPr>
          <w:sz w:val="20"/>
          <w:szCs w:val="20"/>
          <w:lang w:val="en-IN"/>
        </w:rPr>
        <w:t xml:space="preserve">^ Interest rate for loan given towards Value added services </w:t>
      </w:r>
      <w:r w:rsidR="000057E9">
        <w:rPr>
          <w:sz w:val="20"/>
          <w:szCs w:val="20"/>
          <w:lang w:val="en-IN"/>
        </w:rPr>
        <w:t xml:space="preserve">(VAS </w:t>
      </w:r>
      <w:r>
        <w:rPr>
          <w:sz w:val="20"/>
          <w:szCs w:val="20"/>
          <w:lang w:val="en-IN"/>
        </w:rPr>
        <w:t xml:space="preserve">) such as insurance product (premium) under </w:t>
      </w:r>
      <w:r w:rsidRPr="00FC2871">
        <w:rPr>
          <w:sz w:val="20"/>
          <w:szCs w:val="20"/>
          <w:lang w:val="en-IN"/>
        </w:rPr>
        <w:t xml:space="preserve">product segment - personal/consumer loans can be below approved range </w:t>
      </w:r>
      <w:r w:rsidR="000057E9" w:rsidRPr="00FC2871">
        <w:rPr>
          <w:sz w:val="20"/>
          <w:szCs w:val="20"/>
          <w:lang w:val="en-IN"/>
        </w:rPr>
        <w:t>up to</w:t>
      </w:r>
      <w:r w:rsidRPr="00FC2871">
        <w:rPr>
          <w:sz w:val="20"/>
          <w:szCs w:val="20"/>
          <w:lang w:val="en-IN"/>
        </w:rPr>
        <w:t xml:space="preserve"> 0%.</w:t>
      </w:r>
    </w:p>
    <w:p w14:paraId="1E5A3C01" w14:textId="475DDAC5" w:rsidR="00173D36" w:rsidRPr="00FC2871" w:rsidRDefault="00250F60" w:rsidP="00851FBF">
      <w:pPr>
        <w:ind w:right="567"/>
        <w:jc w:val="both"/>
        <w:rPr>
          <w:i/>
          <w:iCs/>
          <w:sz w:val="20"/>
          <w:szCs w:val="20"/>
          <w:lang w:val="en-IN"/>
        </w:rPr>
      </w:pPr>
      <w:r w:rsidRPr="00FC2871">
        <w:rPr>
          <w:sz w:val="20"/>
          <w:szCs w:val="20"/>
          <w:lang w:val="en-IN"/>
        </w:rPr>
        <w:t xml:space="preserve">** </w:t>
      </w:r>
      <w:r w:rsidR="00033B7A" w:rsidRPr="00FC2871">
        <w:rPr>
          <w:sz w:val="20"/>
          <w:szCs w:val="20"/>
          <w:lang w:val="en-IN"/>
        </w:rPr>
        <w:t xml:space="preserve">Wheels – New Business Exceptions: </w:t>
      </w:r>
      <w:r w:rsidR="00A76F37" w:rsidRPr="00FC2871">
        <w:rPr>
          <w:i/>
          <w:iCs/>
          <w:sz w:val="20"/>
          <w:szCs w:val="20"/>
          <w:lang w:val="en-IN"/>
        </w:rPr>
        <w:t xml:space="preserve">In limited cases, </w:t>
      </w:r>
      <w:r w:rsidR="00DE5958" w:rsidRPr="00FC2871">
        <w:rPr>
          <w:i/>
          <w:iCs/>
          <w:sz w:val="20"/>
          <w:szCs w:val="20"/>
          <w:lang w:val="en-IN"/>
        </w:rPr>
        <w:t xml:space="preserve">with approval from the respective Business </w:t>
      </w:r>
      <w:r w:rsidR="000C119E" w:rsidRPr="00FC2871">
        <w:rPr>
          <w:i/>
          <w:iCs/>
          <w:sz w:val="20"/>
          <w:szCs w:val="20"/>
          <w:lang w:val="en-IN"/>
        </w:rPr>
        <w:t>V</w:t>
      </w:r>
      <w:r w:rsidR="00DE5958" w:rsidRPr="00FC2871">
        <w:rPr>
          <w:i/>
          <w:iCs/>
          <w:sz w:val="20"/>
          <w:szCs w:val="20"/>
          <w:lang w:val="en-IN"/>
        </w:rPr>
        <w:t xml:space="preserve">ertical Heads </w:t>
      </w:r>
      <w:r w:rsidR="00A76F37" w:rsidRPr="00FC2871">
        <w:rPr>
          <w:i/>
          <w:iCs/>
          <w:sz w:val="20"/>
          <w:szCs w:val="20"/>
          <w:lang w:val="en-IN"/>
        </w:rPr>
        <w:t>the Company may lend to end customers at an IRR below 8% due to deal</w:t>
      </w:r>
      <w:r w:rsidR="00A76F37" w:rsidRPr="00FC2871">
        <w:rPr>
          <w:i/>
          <w:iCs/>
          <w:sz w:val="20"/>
          <w:szCs w:val="20"/>
          <w:lang w:val="en-IN"/>
        </w:rPr>
        <w:noBreakHyphen/>
        <w:t>specific or market</w:t>
      </w:r>
      <w:r w:rsidR="00A76F37" w:rsidRPr="00FC2871">
        <w:rPr>
          <w:i/>
          <w:iCs/>
          <w:sz w:val="20"/>
          <w:szCs w:val="20"/>
          <w:lang w:val="en-IN"/>
        </w:rPr>
        <w:noBreakHyphen/>
        <w:t>related factors, provided the overall Company IRR remains within the specified range.</w:t>
      </w:r>
    </w:p>
    <w:p w14:paraId="06BCADDC" w14:textId="77777777" w:rsidR="00D47142" w:rsidRPr="008E3FEB" w:rsidRDefault="008E3FEB" w:rsidP="00430033">
      <w:pPr>
        <w:shd w:val="clear" w:color="auto" w:fill="FFFFFF"/>
        <w:contextualSpacing/>
        <w:jc w:val="both"/>
        <w:rPr>
          <w:rFonts w:cstheme="minorHAnsi"/>
          <w:sz w:val="24"/>
          <w:szCs w:val="24"/>
          <w:lang w:eastAsia="en-IN"/>
        </w:rPr>
      </w:pPr>
      <w:r w:rsidRPr="008E3FEB">
        <w:rPr>
          <w:rFonts w:cstheme="minorHAnsi"/>
          <w:sz w:val="24"/>
          <w:szCs w:val="24"/>
          <w:lang w:eastAsia="en-IN"/>
        </w:rPr>
        <w:t xml:space="preserve">The tenure for Asset financing is usually between 1 year to </w:t>
      </w:r>
      <w:r w:rsidR="00120FE8">
        <w:rPr>
          <w:rFonts w:cstheme="minorHAnsi"/>
          <w:sz w:val="24"/>
          <w:szCs w:val="24"/>
          <w:lang w:eastAsia="en-IN"/>
        </w:rPr>
        <w:t>7</w:t>
      </w:r>
      <w:r w:rsidRPr="008E3FEB">
        <w:rPr>
          <w:rFonts w:cstheme="minorHAnsi"/>
          <w:sz w:val="24"/>
          <w:szCs w:val="24"/>
          <w:lang w:eastAsia="en-IN"/>
        </w:rPr>
        <w:t xml:space="preserve"> years</w:t>
      </w:r>
      <w:r w:rsidR="00120FE8">
        <w:rPr>
          <w:rFonts w:cstheme="minorHAnsi"/>
          <w:sz w:val="24"/>
          <w:szCs w:val="24"/>
          <w:lang w:eastAsia="en-IN"/>
        </w:rPr>
        <w:t xml:space="preserve"> (except LAP which </w:t>
      </w:r>
      <w:r w:rsidR="00655FC8">
        <w:rPr>
          <w:rFonts w:cstheme="minorHAnsi"/>
          <w:sz w:val="24"/>
          <w:szCs w:val="24"/>
          <w:lang w:eastAsia="en-IN"/>
        </w:rPr>
        <w:t>is</w:t>
      </w:r>
      <w:r w:rsidR="00120FE8">
        <w:rPr>
          <w:rFonts w:cstheme="minorHAnsi"/>
          <w:sz w:val="24"/>
          <w:szCs w:val="24"/>
          <w:lang w:eastAsia="en-IN"/>
        </w:rPr>
        <w:t xml:space="preserve"> </w:t>
      </w:r>
      <w:r w:rsidR="000057E9">
        <w:rPr>
          <w:rFonts w:cstheme="minorHAnsi"/>
          <w:sz w:val="24"/>
          <w:szCs w:val="24"/>
          <w:lang w:eastAsia="en-IN"/>
        </w:rPr>
        <w:t>up to</w:t>
      </w:r>
      <w:r w:rsidR="00120FE8">
        <w:rPr>
          <w:rFonts w:cstheme="minorHAnsi"/>
          <w:sz w:val="24"/>
          <w:szCs w:val="24"/>
          <w:lang w:eastAsia="en-IN"/>
        </w:rPr>
        <w:t xml:space="preserve"> 15 </w:t>
      </w:r>
      <w:r w:rsidR="001F37DF">
        <w:rPr>
          <w:rFonts w:cstheme="minorHAnsi"/>
          <w:sz w:val="24"/>
          <w:szCs w:val="24"/>
          <w:lang w:eastAsia="en-IN"/>
        </w:rPr>
        <w:t>years,</w:t>
      </w:r>
      <w:r w:rsidR="00860ED1">
        <w:rPr>
          <w:rFonts w:cstheme="minorHAnsi"/>
          <w:sz w:val="24"/>
          <w:szCs w:val="24"/>
          <w:lang w:eastAsia="en-IN"/>
        </w:rPr>
        <w:t xml:space="preserve"> and Mortgage which is </w:t>
      </w:r>
      <w:r w:rsidR="007F066C">
        <w:rPr>
          <w:rFonts w:cstheme="minorHAnsi"/>
          <w:sz w:val="24"/>
          <w:szCs w:val="24"/>
          <w:lang w:eastAsia="en-IN"/>
        </w:rPr>
        <w:t xml:space="preserve">up to </w:t>
      </w:r>
      <w:r w:rsidR="00860ED1">
        <w:rPr>
          <w:rFonts w:cstheme="minorHAnsi"/>
          <w:sz w:val="24"/>
          <w:szCs w:val="24"/>
          <w:lang w:eastAsia="en-IN"/>
        </w:rPr>
        <w:t>30 years</w:t>
      </w:r>
      <w:r w:rsidR="00120FE8">
        <w:rPr>
          <w:rFonts w:cstheme="minorHAnsi"/>
          <w:sz w:val="24"/>
          <w:szCs w:val="24"/>
          <w:lang w:eastAsia="en-IN"/>
        </w:rPr>
        <w:t>)</w:t>
      </w:r>
      <w:r w:rsidRPr="008E3FEB">
        <w:rPr>
          <w:rFonts w:cstheme="minorHAnsi"/>
          <w:sz w:val="24"/>
          <w:szCs w:val="24"/>
          <w:lang w:eastAsia="en-IN"/>
        </w:rPr>
        <w:t>, while personal/working capital loans could have a lower tenure as well. There may be special schemes/rates offered by the Company from time to time/</w:t>
      </w:r>
      <w:r w:rsidR="001F37DF" w:rsidRPr="008E3FEB">
        <w:rPr>
          <w:rFonts w:cstheme="minorHAnsi"/>
          <w:sz w:val="24"/>
          <w:szCs w:val="24"/>
          <w:lang w:eastAsia="en-IN"/>
        </w:rPr>
        <w:t>exception</w:t>
      </w:r>
      <w:r w:rsidRPr="008E3FEB">
        <w:rPr>
          <w:rFonts w:cstheme="minorHAnsi"/>
          <w:sz w:val="24"/>
          <w:szCs w:val="24"/>
          <w:lang w:eastAsia="en-IN"/>
        </w:rPr>
        <w:t xml:space="preserve"> at different terms with the approval of management. The rates of interest are subject to change as the situation warrants and are subject to the discretion of the management on a case-to-case basis.</w:t>
      </w:r>
    </w:p>
    <w:sectPr w:rsidR="00D47142" w:rsidRPr="008E3FEB" w:rsidSect="0006541A">
      <w:headerReference w:type="default" r:id="rId13"/>
      <w:footerReference w:type="default" r:id="rId14"/>
      <w:pgSz w:w="12240" w:h="15840"/>
      <w:pgMar w:top="1985" w:right="900" w:bottom="1276" w:left="1440" w:header="62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24239" w14:textId="77777777" w:rsidR="00A036DF" w:rsidRDefault="00A036DF" w:rsidP="00B07A5B">
      <w:pPr>
        <w:spacing w:after="0" w:line="240" w:lineRule="auto"/>
      </w:pPr>
      <w:r>
        <w:separator/>
      </w:r>
    </w:p>
  </w:endnote>
  <w:endnote w:type="continuationSeparator" w:id="0">
    <w:p w14:paraId="4994191D" w14:textId="77777777" w:rsidR="00A036DF" w:rsidRDefault="00A036DF" w:rsidP="00B07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37FC" w14:textId="77777777" w:rsidR="002A4C90" w:rsidRPr="00FB2E18" w:rsidRDefault="002A4C90" w:rsidP="002A4C90">
    <w:pPr>
      <w:pStyle w:val="Footer"/>
      <w:jc w:val="right"/>
      <w:rPr>
        <w:rFonts w:cstheme="minorHAnsi"/>
        <w:b/>
        <w:color w:val="000080"/>
      </w:rPr>
    </w:pPr>
    <w:r>
      <w:tab/>
    </w:r>
    <w:r w:rsidR="00E042A7">
      <w:t xml:space="preserve">For Internal Circulation                                                                </w:t>
    </w:r>
    <w:r w:rsidR="00E042A7">
      <w:tab/>
    </w:r>
    <w:r>
      <w:rPr>
        <w:rFonts w:ascii="Times New Roman" w:hAnsi="Times New Roman"/>
        <w:sz w:val="20"/>
      </w:rPr>
      <w:t xml:space="preserve">- </w:t>
    </w: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sidR="00EE1308">
      <w:rPr>
        <w:rFonts w:ascii="Times New Roman" w:hAnsi="Times New Roman"/>
        <w:noProof/>
        <w:sz w:val="20"/>
      </w:rPr>
      <w:t>13</w:t>
    </w:r>
    <w:r>
      <w:rPr>
        <w:rFonts w:ascii="Times New Roman" w:hAnsi="Times New Roman"/>
        <w:sz w:val="20"/>
      </w:rPr>
      <w:fldChar w:fldCharType="end"/>
    </w:r>
    <w:r>
      <w:rPr>
        <w:rFonts w:ascii="Times New Roman" w:hAnsi="Times New Roman"/>
        <w:sz w:val="20"/>
      </w:rPr>
      <w:t xml:space="preserve"> -</w:t>
    </w:r>
    <w:r>
      <w:rPr>
        <w:rFonts w:ascii="Times New Roman" w:hAnsi="Times New Roman"/>
        <w:sz w:val="20"/>
      </w:rPr>
      <w:tab/>
    </w:r>
    <w:r w:rsidRPr="00FB2E18">
      <w:rPr>
        <w:rFonts w:cstheme="minorHAnsi"/>
        <w:b/>
        <w:color w:val="000080"/>
      </w:rPr>
      <w:t xml:space="preserve"> </w:t>
    </w:r>
  </w:p>
  <w:p w14:paraId="77A68487" w14:textId="77777777" w:rsidR="00B07A5B" w:rsidRDefault="00B07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6AF8F" w14:textId="77777777" w:rsidR="00A036DF" w:rsidRDefault="00A036DF" w:rsidP="00B07A5B">
      <w:pPr>
        <w:spacing w:after="0" w:line="240" w:lineRule="auto"/>
      </w:pPr>
      <w:r>
        <w:separator/>
      </w:r>
    </w:p>
  </w:footnote>
  <w:footnote w:type="continuationSeparator" w:id="0">
    <w:p w14:paraId="29603FCD" w14:textId="77777777" w:rsidR="00A036DF" w:rsidRDefault="00A036DF" w:rsidP="00B07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BFFB" w14:textId="77777777" w:rsidR="00B07A5B" w:rsidRDefault="00E042A7">
    <w:pPr>
      <w:pStyle w:val="Header"/>
      <w:rPr>
        <w:rFonts w:cstheme="minorHAnsi"/>
        <w:bCs/>
        <w:color w:val="000000" w:themeColor="text1"/>
      </w:rPr>
    </w:pPr>
    <w:r>
      <w:rPr>
        <w:noProof/>
      </w:rPr>
      <w:drawing>
        <wp:inline distT="0" distB="0" distL="0" distR="0" wp14:anchorId="7E3376F4" wp14:editId="2D193003">
          <wp:extent cx="1930400" cy="387350"/>
          <wp:effectExtent l="0" t="0" r="0" b="0"/>
          <wp:docPr id="148084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387350"/>
                  </a:xfrm>
                  <a:prstGeom prst="rect">
                    <a:avLst/>
                  </a:prstGeom>
                  <a:noFill/>
                  <a:ln>
                    <a:noFill/>
                  </a:ln>
                </pic:spPr>
              </pic:pic>
            </a:graphicData>
          </a:graphic>
        </wp:inline>
      </w:drawing>
    </w:r>
    <w:r>
      <w:tab/>
    </w:r>
    <w:r>
      <w:tab/>
    </w:r>
    <w:r w:rsidR="0006541A">
      <w:rPr>
        <w:rFonts w:cstheme="minorHAnsi"/>
        <w:bCs/>
        <w:color w:val="000000" w:themeColor="text1"/>
      </w:rPr>
      <w:t>INTEREST RATE POLICY</w:t>
    </w:r>
  </w:p>
  <w:p w14:paraId="7E86F67E" w14:textId="77777777" w:rsidR="0006541A" w:rsidRPr="00E042A7" w:rsidRDefault="0006541A">
    <w:pPr>
      <w:pStyle w:val="Header"/>
      <w:rPr>
        <w:bCs/>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856"/>
    <w:multiLevelType w:val="hybridMultilevel"/>
    <w:tmpl w:val="EC229194"/>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B50647"/>
    <w:multiLevelType w:val="hybridMultilevel"/>
    <w:tmpl w:val="37507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96822"/>
    <w:multiLevelType w:val="hybridMultilevel"/>
    <w:tmpl w:val="A5729C84"/>
    <w:lvl w:ilvl="0" w:tplc="FFFFFFFF">
      <w:start w:val="1"/>
      <w:numFmt w:val="low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4D46A5F"/>
    <w:multiLevelType w:val="hybridMultilevel"/>
    <w:tmpl w:val="3A8C99E4"/>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7C3009A"/>
    <w:multiLevelType w:val="hybridMultilevel"/>
    <w:tmpl w:val="80C6A0A8"/>
    <w:lvl w:ilvl="0" w:tplc="40090013">
      <w:start w:val="1"/>
      <w:numFmt w:val="upperRoman"/>
      <w:lvlText w:val="%1."/>
      <w:lvlJc w:val="righ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88D30DD"/>
    <w:multiLevelType w:val="multilevel"/>
    <w:tmpl w:val="7DB03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727FDD"/>
    <w:multiLevelType w:val="hybridMultilevel"/>
    <w:tmpl w:val="496AF8C6"/>
    <w:lvl w:ilvl="0" w:tplc="DCAC53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83DB3"/>
    <w:multiLevelType w:val="hybridMultilevel"/>
    <w:tmpl w:val="0EBECB82"/>
    <w:lvl w:ilvl="0" w:tplc="E1C02F9E">
      <w:start w:val="1"/>
      <w:numFmt w:val="upperRoman"/>
      <w:lvlText w:val="%1."/>
      <w:lvlJc w:val="left"/>
      <w:pPr>
        <w:ind w:left="1080" w:hanging="72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4E132BF"/>
    <w:multiLevelType w:val="hybridMultilevel"/>
    <w:tmpl w:val="0DFCF04C"/>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2796F260">
      <w:numFmt w:val="bullet"/>
      <w:lvlText w:val="•"/>
      <w:lvlJc w:val="left"/>
      <w:pPr>
        <w:ind w:left="2520" w:hanging="360"/>
      </w:pPr>
      <w:rPr>
        <w:rFonts w:ascii="Calibri" w:eastAsiaTheme="minorHAnsi" w:hAnsi="Calibri" w:cs="Calibri"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1BB771DC"/>
    <w:multiLevelType w:val="hybridMultilevel"/>
    <w:tmpl w:val="D33AD31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0ED651C"/>
    <w:multiLevelType w:val="hybridMultilevel"/>
    <w:tmpl w:val="DD34C2C4"/>
    <w:lvl w:ilvl="0" w:tplc="40090003">
      <w:start w:val="1"/>
      <w:numFmt w:val="bullet"/>
      <w:lvlText w:val="o"/>
      <w:lvlJc w:val="left"/>
      <w:pPr>
        <w:ind w:left="927" w:hanging="360"/>
      </w:pPr>
      <w:rPr>
        <w:rFonts w:ascii="Courier New" w:hAnsi="Courier New" w:cs="Courier New" w:hint="default"/>
      </w:rPr>
    </w:lvl>
    <w:lvl w:ilvl="1" w:tplc="40090003">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11" w15:restartNumberingAfterBreak="0">
    <w:nsid w:val="28237EC0"/>
    <w:multiLevelType w:val="hybridMultilevel"/>
    <w:tmpl w:val="A5729C84"/>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2AF22F8A"/>
    <w:multiLevelType w:val="hybridMultilevel"/>
    <w:tmpl w:val="F32A433A"/>
    <w:lvl w:ilvl="0" w:tplc="40090017">
      <w:start w:val="1"/>
      <w:numFmt w:val="lowerLetter"/>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3" w15:restartNumberingAfterBreak="0">
    <w:nsid w:val="31C63D2E"/>
    <w:multiLevelType w:val="hybridMultilevel"/>
    <w:tmpl w:val="B8A4174A"/>
    <w:lvl w:ilvl="0" w:tplc="40090005">
      <w:start w:val="1"/>
      <w:numFmt w:val="bullet"/>
      <w:lvlText w:val=""/>
      <w:lvlJc w:val="left"/>
      <w:pPr>
        <w:ind w:left="1800" w:hanging="360"/>
      </w:pPr>
      <w:rPr>
        <w:rFonts w:ascii="Wingdings" w:hAnsi="Wingdings" w:hint="default"/>
      </w:rPr>
    </w:lvl>
    <w:lvl w:ilvl="1" w:tplc="40090003">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4" w15:restartNumberingAfterBreak="0">
    <w:nsid w:val="32454FAB"/>
    <w:multiLevelType w:val="hybridMultilevel"/>
    <w:tmpl w:val="F0D8561C"/>
    <w:lvl w:ilvl="0" w:tplc="D3166F22">
      <w:start w:val="1"/>
      <w:numFmt w:val="decimal"/>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6D964DD"/>
    <w:multiLevelType w:val="hybridMultilevel"/>
    <w:tmpl w:val="47642E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6167449"/>
    <w:multiLevelType w:val="hybridMultilevel"/>
    <w:tmpl w:val="C8AE59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F694136"/>
    <w:multiLevelType w:val="hybridMultilevel"/>
    <w:tmpl w:val="333265A2"/>
    <w:lvl w:ilvl="0" w:tplc="A31CD260">
      <w:start w:val="1"/>
      <w:numFmt w:val="low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034169"/>
    <w:multiLevelType w:val="hybridMultilevel"/>
    <w:tmpl w:val="D99241EA"/>
    <w:lvl w:ilvl="0" w:tplc="FCB8D9C8">
      <w:start w:val="1"/>
      <w:numFmt w:val="lowerRoman"/>
      <w:lvlText w:val="%1."/>
      <w:lvlJc w:val="right"/>
      <w:pPr>
        <w:ind w:left="1080" w:hanging="360"/>
      </w:pPr>
      <w:rPr>
        <w:rFonts w:asciiTheme="minorHAnsi" w:eastAsiaTheme="minorHAnsi" w:hAnsiTheme="minorHAnsi" w:cstheme="minorHAns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504C32EF"/>
    <w:multiLevelType w:val="hybridMultilevel"/>
    <w:tmpl w:val="55EA672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0EF2E90"/>
    <w:multiLevelType w:val="hybridMultilevel"/>
    <w:tmpl w:val="8FC4D53E"/>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 w15:restartNumberingAfterBreak="0">
    <w:nsid w:val="55294961"/>
    <w:multiLevelType w:val="hybridMultilevel"/>
    <w:tmpl w:val="0EBECB82"/>
    <w:lvl w:ilvl="0" w:tplc="E1C02F9E">
      <w:start w:val="1"/>
      <w:numFmt w:val="upperRoman"/>
      <w:lvlText w:val="%1."/>
      <w:lvlJc w:val="left"/>
      <w:pPr>
        <w:ind w:left="1080" w:hanging="72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52D5A05"/>
    <w:multiLevelType w:val="hybridMultilevel"/>
    <w:tmpl w:val="6BB22036"/>
    <w:lvl w:ilvl="0" w:tplc="64FEDE5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5E74EBC"/>
    <w:multiLevelType w:val="hybridMultilevel"/>
    <w:tmpl w:val="22BC0ED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6930B1A"/>
    <w:multiLevelType w:val="hybridMultilevel"/>
    <w:tmpl w:val="9528B59A"/>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01C529B"/>
    <w:multiLevelType w:val="hybridMultilevel"/>
    <w:tmpl w:val="A5729C84"/>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A800274"/>
    <w:multiLevelType w:val="hybridMultilevel"/>
    <w:tmpl w:val="9B20B004"/>
    <w:lvl w:ilvl="0" w:tplc="40090003">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 w15:restartNumberingAfterBreak="0">
    <w:nsid w:val="6EC37B6A"/>
    <w:multiLevelType w:val="hybridMultilevel"/>
    <w:tmpl w:val="8D7400C0"/>
    <w:lvl w:ilvl="0" w:tplc="D01680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3C7CC5"/>
    <w:multiLevelType w:val="hybridMultilevel"/>
    <w:tmpl w:val="D05273D2"/>
    <w:lvl w:ilvl="0" w:tplc="FFFFFFFF">
      <w:start w:val="1"/>
      <w:numFmt w:val="upperRoman"/>
      <w:lvlText w:val="%1."/>
      <w:lvlJc w:val="right"/>
      <w:pPr>
        <w:ind w:left="720" w:hanging="360"/>
      </w:pPr>
    </w:lvl>
    <w:lvl w:ilvl="1" w:tplc="40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9062BA3"/>
    <w:multiLevelType w:val="hybridMultilevel"/>
    <w:tmpl w:val="B2D41BF2"/>
    <w:lvl w:ilvl="0" w:tplc="40090003">
      <w:start w:val="1"/>
      <w:numFmt w:val="bullet"/>
      <w:lvlText w:val="o"/>
      <w:lvlJc w:val="left"/>
      <w:pPr>
        <w:ind w:left="1287" w:hanging="360"/>
      </w:pPr>
      <w:rPr>
        <w:rFonts w:ascii="Courier New" w:hAnsi="Courier New" w:cs="Courier New" w:hint="default"/>
      </w:rPr>
    </w:lvl>
    <w:lvl w:ilvl="1" w:tplc="40090003">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30" w15:restartNumberingAfterBreak="0">
    <w:nsid w:val="790B5BD6"/>
    <w:multiLevelType w:val="hybridMultilevel"/>
    <w:tmpl w:val="23C0D08C"/>
    <w:lvl w:ilvl="0" w:tplc="277AC8B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96B3E80"/>
    <w:multiLevelType w:val="hybridMultilevel"/>
    <w:tmpl w:val="EA321422"/>
    <w:lvl w:ilvl="0" w:tplc="0409000F">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BBE057B"/>
    <w:multiLevelType w:val="hybridMultilevel"/>
    <w:tmpl w:val="A5729C84"/>
    <w:lvl w:ilvl="0" w:tplc="FFFFFFFF">
      <w:start w:val="1"/>
      <w:numFmt w:val="lowerRoman"/>
      <w:lvlText w:val="%1."/>
      <w:lvlJc w:val="righ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3" w15:restartNumberingAfterBreak="0">
    <w:nsid w:val="7FC15851"/>
    <w:multiLevelType w:val="hybridMultilevel"/>
    <w:tmpl w:val="E84A0740"/>
    <w:lvl w:ilvl="0" w:tplc="FFFFFFFF">
      <w:start w:val="1"/>
      <w:numFmt w:val="bullet"/>
      <w:lvlText w:val=""/>
      <w:lvlJc w:val="left"/>
      <w:pPr>
        <w:ind w:left="1800" w:hanging="360"/>
      </w:pPr>
      <w:rPr>
        <w:rFonts w:ascii="Wingdings" w:hAnsi="Wingdings" w:hint="default"/>
      </w:rPr>
    </w:lvl>
    <w:lvl w:ilvl="1" w:tplc="40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1334068177">
    <w:abstractNumId w:val="17"/>
  </w:num>
  <w:num w:numId="2" w16cid:durableId="864442554">
    <w:abstractNumId w:val="31"/>
  </w:num>
  <w:num w:numId="3" w16cid:durableId="649404387">
    <w:abstractNumId w:val="1"/>
  </w:num>
  <w:num w:numId="4" w16cid:durableId="680592038">
    <w:abstractNumId w:val="14"/>
  </w:num>
  <w:num w:numId="5" w16cid:durableId="883521746">
    <w:abstractNumId w:val="15"/>
  </w:num>
  <w:num w:numId="6" w16cid:durableId="672103038">
    <w:abstractNumId w:val="4"/>
  </w:num>
  <w:num w:numId="7" w16cid:durableId="168830893">
    <w:abstractNumId w:val="28"/>
  </w:num>
  <w:num w:numId="8" w16cid:durableId="1293293605">
    <w:abstractNumId w:val="21"/>
  </w:num>
  <w:num w:numId="9" w16cid:durableId="1730179334">
    <w:abstractNumId w:val="7"/>
  </w:num>
  <w:num w:numId="10" w16cid:durableId="857693764">
    <w:abstractNumId w:val="8"/>
  </w:num>
  <w:num w:numId="11" w16cid:durableId="1493988021">
    <w:abstractNumId w:val="16"/>
  </w:num>
  <w:num w:numId="12" w16cid:durableId="1632664854">
    <w:abstractNumId w:val="9"/>
  </w:num>
  <w:num w:numId="13" w16cid:durableId="2037391624">
    <w:abstractNumId w:val="20"/>
  </w:num>
  <w:num w:numId="14" w16cid:durableId="1373265286">
    <w:abstractNumId w:val="10"/>
  </w:num>
  <w:num w:numId="15" w16cid:durableId="1751734976">
    <w:abstractNumId w:val="24"/>
  </w:num>
  <w:num w:numId="16" w16cid:durableId="656541300">
    <w:abstractNumId w:val="23"/>
  </w:num>
  <w:num w:numId="17" w16cid:durableId="1108089560">
    <w:abstractNumId w:val="5"/>
  </w:num>
  <w:num w:numId="18" w16cid:durableId="92481741">
    <w:abstractNumId w:val="3"/>
  </w:num>
  <w:num w:numId="19" w16cid:durableId="907157097">
    <w:abstractNumId w:val="29"/>
  </w:num>
  <w:num w:numId="20" w16cid:durableId="1608850072">
    <w:abstractNumId w:val="0"/>
  </w:num>
  <w:num w:numId="21" w16cid:durableId="1486162259">
    <w:abstractNumId w:val="30"/>
  </w:num>
  <w:num w:numId="22" w16cid:durableId="1916477048">
    <w:abstractNumId w:val="22"/>
  </w:num>
  <w:num w:numId="23" w16cid:durableId="1138182105">
    <w:abstractNumId w:val="19"/>
  </w:num>
  <w:num w:numId="24" w16cid:durableId="1873419492">
    <w:abstractNumId w:val="26"/>
  </w:num>
  <w:num w:numId="25" w16cid:durableId="110322049">
    <w:abstractNumId w:val="12"/>
  </w:num>
  <w:num w:numId="26" w16cid:durableId="1685596861">
    <w:abstractNumId w:val="11"/>
  </w:num>
  <w:num w:numId="27" w16cid:durableId="1221356535">
    <w:abstractNumId w:val="6"/>
  </w:num>
  <w:num w:numId="28" w16cid:durableId="1588345949">
    <w:abstractNumId w:val="27"/>
  </w:num>
  <w:num w:numId="29" w16cid:durableId="603735344">
    <w:abstractNumId w:val="18"/>
  </w:num>
  <w:num w:numId="30" w16cid:durableId="739399674">
    <w:abstractNumId w:val="29"/>
  </w:num>
  <w:num w:numId="31" w16cid:durableId="1129514853">
    <w:abstractNumId w:val="25"/>
  </w:num>
  <w:num w:numId="32" w16cid:durableId="1834104493">
    <w:abstractNumId w:val="32"/>
  </w:num>
  <w:num w:numId="33" w16cid:durableId="838617022">
    <w:abstractNumId w:val="2"/>
  </w:num>
  <w:num w:numId="34" w16cid:durableId="14425737">
    <w:abstractNumId w:val="13"/>
  </w:num>
  <w:num w:numId="35" w16cid:durableId="157373391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D"/>
    <w:rsid w:val="000028C2"/>
    <w:rsid w:val="00004537"/>
    <w:rsid w:val="000057E9"/>
    <w:rsid w:val="00015C5F"/>
    <w:rsid w:val="00023651"/>
    <w:rsid w:val="000316AF"/>
    <w:rsid w:val="00033B7A"/>
    <w:rsid w:val="00034CD1"/>
    <w:rsid w:val="000366DE"/>
    <w:rsid w:val="00036B73"/>
    <w:rsid w:val="00051029"/>
    <w:rsid w:val="0005223A"/>
    <w:rsid w:val="00063C82"/>
    <w:rsid w:val="0006541A"/>
    <w:rsid w:val="000736CA"/>
    <w:rsid w:val="0007373D"/>
    <w:rsid w:val="00091423"/>
    <w:rsid w:val="000915C4"/>
    <w:rsid w:val="000A0BAF"/>
    <w:rsid w:val="000B07C9"/>
    <w:rsid w:val="000B5544"/>
    <w:rsid w:val="000B6AF2"/>
    <w:rsid w:val="000B7DA9"/>
    <w:rsid w:val="000C0D83"/>
    <w:rsid w:val="000C119E"/>
    <w:rsid w:val="000C27E8"/>
    <w:rsid w:val="000E253B"/>
    <w:rsid w:val="000E4F1F"/>
    <w:rsid w:val="000F55F3"/>
    <w:rsid w:val="000F56A8"/>
    <w:rsid w:val="000F798D"/>
    <w:rsid w:val="001109CC"/>
    <w:rsid w:val="00110A47"/>
    <w:rsid w:val="00113059"/>
    <w:rsid w:val="00115564"/>
    <w:rsid w:val="00120FE8"/>
    <w:rsid w:val="00121723"/>
    <w:rsid w:val="00144379"/>
    <w:rsid w:val="00146F4A"/>
    <w:rsid w:val="00152AE5"/>
    <w:rsid w:val="00165C95"/>
    <w:rsid w:val="00166356"/>
    <w:rsid w:val="001731C2"/>
    <w:rsid w:val="00173D36"/>
    <w:rsid w:val="0017439B"/>
    <w:rsid w:val="00181017"/>
    <w:rsid w:val="001918E9"/>
    <w:rsid w:val="001A3659"/>
    <w:rsid w:val="001A4108"/>
    <w:rsid w:val="001A444F"/>
    <w:rsid w:val="001A76ED"/>
    <w:rsid w:val="001B0E3E"/>
    <w:rsid w:val="001B30D9"/>
    <w:rsid w:val="001B3AA2"/>
    <w:rsid w:val="001C3694"/>
    <w:rsid w:val="001C4B48"/>
    <w:rsid w:val="001D07F8"/>
    <w:rsid w:val="001D0E04"/>
    <w:rsid w:val="001E1A4E"/>
    <w:rsid w:val="001E1D3E"/>
    <w:rsid w:val="001E3C55"/>
    <w:rsid w:val="001E4DFA"/>
    <w:rsid w:val="001E6AD3"/>
    <w:rsid w:val="001F37DF"/>
    <w:rsid w:val="0020318C"/>
    <w:rsid w:val="00205A48"/>
    <w:rsid w:val="00211DB4"/>
    <w:rsid w:val="00212CB2"/>
    <w:rsid w:val="00215BB1"/>
    <w:rsid w:val="002202AC"/>
    <w:rsid w:val="00223233"/>
    <w:rsid w:val="00230D5D"/>
    <w:rsid w:val="00245BF6"/>
    <w:rsid w:val="0024660D"/>
    <w:rsid w:val="00246A72"/>
    <w:rsid w:val="00246E89"/>
    <w:rsid w:val="00250F60"/>
    <w:rsid w:val="0026514C"/>
    <w:rsid w:val="00270AD1"/>
    <w:rsid w:val="00271643"/>
    <w:rsid w:val="002733B6"/>
    <w:rsid w:val="00273605"/>
    <w:rsid w:val="00285062"/>
    <w:rsid w:val="00290471"/>
    <w:rsid w:val="002A41BA"/>
    <w:rsid w:val="002A4C90"/>
    <w:rsid w:val="002A78EB"/>
    <w:rsid w:val="002C2AF9"/>
    <w:rsid w:val="002C3D15"/>
    <w:rsid w:val="002D405E"/>
    <w:rsid w:val="002D5DC4"/>
    <w:rsid w:val="002D7FE1"/>
    <w:rsid w:val="002E3867"/>
    <w:rsid w:val="002E3FBC"/>
    <w:rsid w:val="002E4D95"/>
    <w:rsid w:val="002E7D2A"/>
    <w:rsid w:val="002F0267"/>
    <w:rsid w:val="002F0EA0"/>
    <w:rsid w:val="002F33C2"/>
    <w:rsid w:val="002F5F64"/>
    <w:rsid w:val="00310775"/>
    <w:rsid w:val="003139BD"/>
    <w:rsid w:val="00313F5D"/>
    <w:rsid w:val="00325C25"/>
    <w:rsid w:val="0032653A"/>
    <w:rsid w:val="00333952"/>
    <w:rsid w:val="00340D9C"/>
    <w:rsid w:val="00352989"/>
    <w:rsid w:val="003572BE"/>
    <w:rsid w:val="0036505F"/>
    <w:rsid w:val="00366A62"/>
    <w:rsid w:val="00374904"/>
    <w:rsid w:val="003826A3"/>
    <w:rsid w:val="0038774C"/>
    <w:rsid w:val="00387A65"/>
    <w:rsid w:val="003906AB"/>
    <w:rsid w:val="00394753"/>
    <w:rsid w:val="00395576"/>
    <w:rsid w:val="003A4278"/>
    <w:rsid w:val="003A647C"/>
    <w:rsid w:val="003A74FB"/>
    <w:rsid w:val="003B04AE"/>
    <w:rsid w:val="003B30ED"/>
    <w:rsid w:val="003C6080"/>
    <w:rsid w:val="003D421E"/>
    <w:rsid w:val="003D54E7"/>
    <w:rsid w:val="003E2FC1"/>
    <w:rsid w:val="003E58C4"/>
    <w:rsid w:val="003F1549"/>
    <w:rsid w:val="003F546F"/>
    <w:rsid w:val="004016BA"/>
    <w:rsid w:val="00401CF3"/>
    <w:rsid w:val="00403B4A"/>
    <w:rsid w:val="00412525"/>
    <w:rsid w:val="0041282A"/>
    <w:rsid w:val="00412E5D"/>
    <w:rsid w:val="00414E4A"/>
    <w:rsid w:val="004162E3"/>
    <w:rsid w:val="00417EBC"/>
    <w:rsid w:val="00421ED1"/>
    <w:rsid w:val="004221BE"/>
    <w:rsid w:val="00430033"/>
    <w:rsid w:val="004309A3"/>
    <w:rsid w:val="00430C15"/>
    <w:rsid w:val="00434664"/>
    <w:rsid w:val="00434BCA"/>
    <w:rsid w:val="00434C1E"/>
    <w:rsid w:val="00451F68"/>
    <w:rsid w:val="004555CB"/>
    <w:rsid w:val="0045631B"/>
    <w:rsid w:val="004565A3"/>
    <w:rsid w:val="00457766"/>
    <w:rsid w:val="00471B0C"/>
    <w:rsid w:val="00477769"/>
    <w:rsid w:val="0048002F"/>
    <w:rsid w:val="004830C4"/>
    <w:rsid w:val="0049586A"/>
    <w:rsid w:val="004A0FAD"/>
    <w:rsid w:val="004A30B8"/>
    <w:rsid w:val="004A4640"/>
    <w:rsid w:val="004A7662"/>
    <w:rsid w:val="004B0202"/>
    <w:rsid w:val="004B2CE0"/>
    <w:rsid w:val="004B363B"/>
    <w:rsid w:val="004B4B3F"/>
    <w:rsid w:val="004C1213"/>
    <w:rsid w:val="004C35DD"/>
    <w:rsid w:val="004C5A42"/>
    <w:rsid w:val="004D362A"/>
    <w:rsid w:val="004E02F0"/>
    <w:rsid w:val="004E250E"/>
    <w:rsid w:val="004F4EF0"/>
    <w:rsid w:val="004F5ED4"/>
    <w:rsid w:val="004F74C9"/>
    <w:rsid w:val="00503F5B"/>
    <w:rsid w:val="0051586D"/>
    <w:rsid w:val="00515A03"/>
    <w:rsid w:val="00516C8D"/>
    <w:rsid w:val="00520F9B"/>
    <w:rsid w:val="00522AF6"/>
    <w:rsid w:val="00533F43"/>
    <w:rsid w:val="005358E9"/>
    <w:rsid w:val="005576B1"/>
    <w:rsid w:val="005637A9"/>
    <w:rsid w:val="0056692D"/>
    <w:rsid w:val="00572451"/>
    <w:rsid w:val="005726C0"/>
    <w:rsid w:val="00572878"/>
    <w:rsid w:val="0057631F"/>
    <w:rsid w:val="00586462"/>
    <w:rsid w:val="0058662B"/>
    <w:rsid w:val="005964EE"/>
    <w:rsid w:val="005967B3"/>
    <w:rsid w:val="0059741E"/>
    <w:rsid w:val="0059799F"/>
    <w:rsid w:val="005E605E"/>
    <w:rsid w:val="005E6E80"/>
    <w:rsid w:val="005F6873"/>
    <w:rsid w:val="00601024"/>
    <w:rsid w:val="00606F28"/>
    <w:rsid w:val="0061517C"/>
    <w:rsid w:val="00621867"/>
    <w:rsid w:val="00621C52"/>
    <w:rsid w:val="00622EB7"/>
    <w:rsid w:val="00623612"/>
    <w:rsid w:val="00633FE7"/>
    <w:rsid w:val="00640A04"/>
    <w:rsid w:val="00641A92"/>
    <w:rsid w:val="00655FC8"/>
    <w:rsid w:val="006651E0"/>
    <w:rsid w:val="00677D59"/>
    <w:rsid w:val="00682746"/>
    <w:rsid w:val="0069497C"/>
    <w:rsid w:val="006968BB"/>
    <w:rsid w:val="006A0304"/>
    <w:rsid w:val="006A2BE9"/>
    <w:rsid w:val="006A7175"/>
    <w:rsid w:val="006A79E0"/>
    <w:rsid w:val="006B150F"/>
    <w:rsid w:val="006B7BF1"/>
    <w:rsid w:val="006C1395"/>
    <w:rsid w:val="006C16EA"/>
    <w:rsid w:val="006C6DEB"/>
    <w:rsid w:val="006D3DD7"/>
    <w:rsid w:val="006E16FA"/>
    <w:rsid w:val="006E7487"/>
    <w:rsid w:val="006F25E8"/>
    <w:rsid w:val="006F6EB7"/>
    <w:rsid w:val="006F7D21"/>
    <w:rsid w:val="0070082F"/>
    <w:rsid w:val="00706AC6"/>
    <w:rsid w:val="00715EB7"/>
    <w:rsid w:val="00721B46"/>
    <w:rsid w:val="00733437"/>
    <w:rsid w:val="00737E36"/>
    <w:rsid w:val="00742661"/>
    <w:rsid w:val="00745D07"/>
    <w:rsid w:val="007516ED"/>
    <w:rsid w:val="007712AC"/>
    <w:rsid w:val="00773B32"/>
    <w:rsid w:val="0078104B"/>
    <w:rsid w:val="00792027"/>
    <w:rsid w:val="007A0234"/>
    <w:rsid w:val="007A1B8B"/>
    <w:rsid w:val="007A2574"/>
    <w:rsid w:val="007A2E50"/>
    <w:rsid w:val="007A3CFA"/>
    <w:rsid w:val="007A6297"/>
    <w:rsid w:val="007B09EC"/>
    <w:rsid w:val="007B1374"/>
    <w:rsid w:val="007B505A"/>
    <w:rsid w:val="007B7184"/>
    <w:rsid w:val="007C3713"/>
    <w:rsid w:val="007C7898"/>
    <w:rsid w:val="007D4E55"/>
    <w:rsid w:val="007D66B1"/>
    <w:rsid w:val="007D72CD"/>
    <w:rsid w:val="007F066C"/>
    <w:rsid w:val="007F5AEF"/>
    <w:rsid w:val="0081480A"/>
    <w:rsid w:val="00817F61"/>
    <w:rsid w:val="00823D61"/>
    <w:rsid w:val="00832A67"/>
    <w:rsid w:val="00835398"/>
    <w:rsid w:val="008405F6"/>
    <w:rsid w:val="0084060C"/>
    <w:rsid w:val="00843126"/>
    <w:rsid w:val="00843C14"/>
    <w:rsid w:val="0084798D"/>
    <w:rsid w:val="00851FBF"/>
    <w:rsid w:val="008520DC"/>
    <w:rsid w:val="00854D1A"/>
    <w:rsid w:val="00856D0E"/>
    <w:rsid w:val="00860ED1"/>
    <w:rsid w:val="0086226F"/>
    <w:rsid w:val="008639D2"/>
    <w:rsid w:val="00863AAF"/>
    <w:rsid w:val="00865D28"/>
    <w:rsid w:val="00867AEE"/>
    <w:rsid w:val="008742BE"/>
    <w:rsid w:val="008844AE"/>
    <w:rsid w:val="008920D2"/>
    <w:rsid w:val="008A0ED5"/>
    <w:rsid w:val="008A4579"/>
    <w:rsid w:val="008B11EA"/>
    <w:rsid w:val="008B214A"/>
    <w:rsid w:val="008B4D98"/>
    <w:rsid w:val="008C48BD"/>
    <w:rsid w:val="008D42EF"/>
    <w:rsid w:val="008D6625"/>
    <w:rsid w:val="008D66F5"/>
    <w:rsid w:val="008D7892"/>
    <w:rsid w:val="008E3FEB"/>
    <w:rsid w:val="008E6831"/>
    <w:rsid w:val="008F40D8"/>
    <w:rsid w:val="008F53C8"/>
    <w:rsid w:val="008F668E"/>
    <w:rsid w:val="0091017A"/>
    <w:rsid w:val="00912B35"/>
    <w:rsid w:val="00916EB4"/>
    <w:rsid w:val="00917D5D"/>
    <w:rsid w:val="00917D83"/>
    <w:rsid w:val="00926D0D"/>
    <w:rsid w:val="00927C79"/>
    <w:rsid w:val="009307F5"/>
    <w:rsid w:val="00931459"/>
    <w:rsid w:val="00931935"/>
    <w:rsid w:val="0093695D"/>
    <w:rsid w:val="00941BBA"/>
    <w:rsid w:val="00947C50"/>
    <w:rsid w:val="0095260A"/>
    <w:rsid w:val="00957722"/>
    <w:rsid w:val="009624A7"/>
    <w:rsid w:val="009628B0"/>
    <w:rsid w:val="009669F4"/>
    <w:rsid w:val="00980630"/>
    <w:rsid w:val="00982B33"/>
    <w:rsid w:val="00985C45"/>
    <w:rsid w:val="00986780"/>
    <w:rsid w:val="009A1C39"/>
    <w:rsid w:val="009A60E6"/>
    <w:rsid w:val="009A6271"/>
    <w:rsid w:val="009B29D8"/>
    <w:rsid w:val="009C2A42"/>
    <w:rsid w:val="009C6156"/>
    <w:rsid w:val="009C6CD8"/>
    <w:rsid w:val="009D59AA"/>
    <w:rsid w:val="009D7ED5"/>
    <w:rsid w:val="009E01E0"/>
    <w:rsid w:val="009E3A39"/>
    <w:rsid w:val="009E77E2"/>
    <w:rsid w:val="009F0C75"/>
    <w:rsid w:val="009F1732"/>
    <w:rsid w:val="009F3C49"/>
    <w:rsid w:val="009F4EA3"/>
    <w:rsid w:val="009F5764"/>
    <w:rsid w:val="009F6509"/>
    <w:rsid w:val="00A00D9A"/>
    <w:rsid w:val="00A036DF"/>
    <w:rsid w:val="00A04ADE"/>
    <w:rsid w:val="00A068FB"/>
    <w:rsid w:val="00A132BF"/>
    <w:rsid w:val="00A15CA2"/>
    <w:rsid w:val="00A17BA0"/>
    <w:rsid w:val="00A20C19"/>
    <w:rsid w:val="00A21E7C"/>
    <w:rsid w:val="00A329DF"/>
    <w:rsid w:val="00A348F7"/>
    <w:rsid w:val="00A40953"/>
    <w:rsid w:val="00A4502F"/>
    <w:rsid w:val="00A47156"/>
    <w:rsid w:val="00A530C7"/>
    <w:rsid w:val="00A608E3"/>
    <w:rsid w:val="00A63A7B"/>
    <w:rsid w:val="00A652C7"/>
    <w:rsid w:val="00A66F92"/>
    <w:rsid w:val="00A70A34"/>
    <w:rsid w:val="00A76F37"/>
    <w:rsid w:val="00A7702A"/>
    <w:rsid w:val="00A77C4A"/>
    <w:rsid w:val="00A818D4"/>
    <w:rsid w:val="00A82F8D"/>
    <w:rsid w:val="00A839B9"/>
    <w:rsid w:val="00A854AC"/>
    <w:rsid w:val="00A86FA6"/>
    <w:rsid w:val="00A92D0E"/>
    <w:rsid w:val="00AA1D37"/>
    <w:rsid w:val="00AA7247"/>
    <w:rsid w:val="00AC3AF1"/>
    <w:rsid w:val="00AD71BB"/>
    <w:rsid w:val="00AE535A"/>
    <w:rsid w:val="00AF2E28"/>
    <w:rsid w:val="00AF5BF2"/>
    <w:rsid w:val="00B0673F"/>
    <w:rsid w:val="00B06CEE"/>
    <w:rsid w:val="00B07A5B"/>
    <w:rsid w:val="00B105ED"/>
    <w:rsid w:val="00B14024"/>
    <w:rsid w:val="00B217D6"/>
    <w:rsid w:val="00B24B62"/>
    <w:rsid w:val="00B314AF"/>
    <w:rsid w:val="00B33492"/>
    <w:rsid w:val="00B35D2A"/>
    <w:rsid w:val="00B36E77"/>
    <w:rsid w:val="00B44396"/>
    <w:rsid w:val="00B5202E"/>
    <w:rsid w:val="00B52C21"/>
    <w:rsid w:val="00B5366B"/>
    <w:rsid w:val="00B65019"/>
    <w:rsid w:val="00B66BA9"/>
    <w:rsid w:val="00B72140"/>
    <w:rsid w:val="00B8051E"/>
    <w:rsid w:val="00B81D28"/>
    <w:rsid w:val="00B8548C"/>
    <w:rsid w:val="00B95EB1"/>
    <w:rsid w:val="00B97904"/>
    <w:rsid w:val="00BB62BD"/>
    <w:rsid w:val="00BD2D03"/>
    <w:rsid w:val="00BE309E"/>
    <w:rsid w:val="00BE3902"/>
    <w:rsid w:val="00BE3CE0"/>
    <w:rsid w:val="00BE70C9"/>
    <w:rsid w:val="00BE73ED"/>
    <w:rsid w:val="00BF3A06"/>
    <w:rsid w:val="00BF6DDA"/>
    <w:rsid w:val="00C01751"/>
    <w:rsid w:val="00C02452"/>
    <w:rsid w:val="00C03F7A"/>
    <w:rsid w:val="00C0549B"/>
    <w:rsid w:val="00C10CE8"/>
    <w:rsid w:val="00C111E5"/>
    <w:rsid w:val="00C11BF2"/>
    <w:rsid w:val="00C16E32"/>
    <w:rsid w:val="00C20E1B"/>
    <w:rsid w:val="00C21AD3"/>
    <w:rsid w:val="00C271A7"/>
    <w:rsid w:val="00C3187C"/>
    <w:rsid w:val="00C31CC0"/>
    <w:rsid w:val="00C32B61"/>
    <w:rsid w:val="00C35C22"/>
    <w:rsid w:val="00C36379"/>
    <w:rsid w:val="00C37B51"/>
    <w:rsid w:val="00C4388F"/>
    <w:rsid w:val="00C620E3"/>
    <w:rsid w:val="00C705CD"/>
    <w:rsid w:val="00C70965"/>
    <w:rsid w:val="00C74B9A"/>
    <w:rsid w:val="00C90F6F"/>
    <w:rsid w:val="00C9530C"/>
    <w:rsid w:val="00C955C5"/>
    <w:rsid w:val="00CA30C8"/>
    <w:rsid w:val="00CA3E5E"/>
    <w:rsid w:val="00CA6791"/>
    <w:rsid w:val="00CA7E31"/>
    <w:rsid w:val="00CB5605"/>
    <w:rsid w:val="00CC12A8"/>
    <w:rsid w:val="00CC6909"/>
    <w:rsid w:val="00CD191C"/>
    <w:rsid w:val="00CD65FD"/>
    <w:rsid w:val="00CF5525"/>
    <w:rsid w:val="00CF6B50"/>
    <w:rsid w:val="00D00C4D"/>
    <w:rsid w:val="00D01585"/>
    <w:rsid w:val="00D018AB"/>
    <w:rsid w:val="00D16758"/>
    <w:rsid w:val="00D2183C"/>
    <w:rsid w:val="00D26189"/>
    <w:rsid w:val="00D365AD"/>
    <w:rsid w:val="00D47142"/>
    <w:rsid w:val="00D510AC"/>
    <w:rsid w:val="00D54E33"/>
    <w:rsid w:val="00D559C6"/>
    <w:rsid w:val="00D56B6A"/>
    <w:rsid w:val="00D575EA"/>
    <w:rsid w:val="00D611E8"/>
    <w:rsid w:val="00D639B2"/>
    <w:rsid w:val="00D6577B"/>
    <w:rsid w:val="00D76045"/>
    <w:rsid w:val="00D86872"/>
    <w:rsid w:val="00D86DC9"/>
    <w:rsid w:val="00D93AEA"/>
    <w:rsid w:val="00D93D7F"/>
    <w:rsid w:val="00D93F09"/>
    <w:rsid w:val="00DA08D1"/>
    <w:rsid w:val="00DA4022"/>
    <w:rsid w:val="00DB1DD2"/>
    <w:rsid w:val="00DB2475"/>
    <w:rsid w:val="00DB254E"/>
    <w:rsid w:val="00DE5958"/>
    <w:rsid w:val="00DF6686"/>
    <w:rsid w:val="00E042A7"/>
    <w:rsid w:val="00E10269"/>
    <w:rsid w:val="00E16196"/>
    <w:rsid w:val="00E201F2"/>
    <w:rsid w:val="00E20B6A"/>
    <w:rsid w:val="00E2468C"/>
    <w:rsid w:val="00E249BA"/>
    <w:rsid w:val="00E27802"/>
    <w:rsid w:val="00E31C09"/>
    <w:rsid w:val="00E36CF2"/>
    <w:rsid w:val="00E41E4D"/>
    <w:rsid w:val="00E52EFD"/>
    <w:rsid w:val="00E575F5"/>
    <w:rsid w:val="00E6251C"/>
    <w:rsid w:val="00E62C61"/>
    <w:rsid w:val="00E6412A"/>
    <w:rsid w:val="00E7112F"/>
    <w:rsid w:val="00E76E1E"/>
    <w:rsid w:val="00E83DDD"/>
    <w:rsid w:val="00E90A25"/>
    <w:rsid w:val="00EA5C49"/>
    <w:rsid w:val="00EB4ACF"/>
    <w:rsid w:val="00EB4ADC"/>
    <w:rsid w:val="00EC0F21"/>
    <w:rsid w:val="00ED3702"/>
    <w:rsid w:val="00ED59CC"/>
    <w:rsid w:val="00EE1308"/>
    <w:rsid w:val="00EE4A23"/>
    <w:rsid w:val="00EE650C"/>
    <w:rsid w:val="00EF6494"/>
    <w:rsid w:val="00F005B3"/>
    <w:rsid w:val="00F0306C"/>
    <w:rsid w:val="00F137D7"/>
    <w:rsid w:val="00F13988"/>
    <w:rsid w:val="00F14E84"/>
    <w:rsid w:val="00F14F12"/>
    <w:rsid w:val="00F1599C"/>
    <w:rsid w:val="00F16597"/>
    <w:rsid w:val="00F2478C"/>
    <w:rsid w:val="00F24CC8"/>
    <w:rsid w:val="00F26866"/>
    <w:rsid w:val="00F27EDC"/>
    <w:rsid w:val="00F32551"/>
    <w:rsid w:val="00F33BD3"/>
    <w:rsid w:val="00F35A70"/>
    <w:rsid w:val="00F51860"/>
    <w:rsid w:val="00F6498F"/>
    <w:rsid w:val="00F665F5"/>
    <w:rsid w:val="00F675C4"/>
    <w:rsid w:val="00F71FF8"/>
    <w:rsid w:val="00F736B1"/>
    <w:rsid w:val="00F76802"/>
    <w:rsid w:val="00F9003D"/>
    <w:rsid w:val="00F97BC1"/>
    <w:rsid w:val="00F97FD7"/>
    <w:rsid w:val="00FA2698"/>
    <w:rsid w:val="00FA41B1"/>
    <w:rsid w:val="00FA55E7"/>
    <w:rsid w:val="00FB0DC6"/>
    <w:rsid w:val="00FB65A0"/>
    <w:rsid w:val="00FC0A98"/>
    <w:rsid w:val="00FC1D24"/>
    <w:rsid w:val="00FC2871"/>
    <w:rsid w:val="00FC2968"/>
    <w:rsid w:val="00FC43B4"/>
    <w:rsid w:val="00FD2268"/>
    <w:rsid w:val="00FD3195"/>
    <w:rsid w:val="00FE0134"/>
    <w:rsid w:val="00FF1A3E"/>
    <w:rsid w:val="00FF3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96B6F"/>
  <w15:chartTrackingRefBased/>
  <w15:docId w15:val="{0A91708B-5D65-4CBF-A21A-32267D58C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5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2F8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A82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nexure,List Paragraph1,heading 9,Heading 91,Heading 911,Heading 9111,Heading 91111,Heading 911111,Ar-Body Text,References,Bullets,Liste 1,SD JURIDIQUE TITRE 5,WinDForce-Letter,List Paragraph 2,Lvl 1 Bullet,Johan bulletList Paragraph,lp1"/>
    <w:basedOn w:val="Normal"/>
    <w:link w:val="ListParagraphChar"/>
    <w:uiPriority w:val="34"/>
    <w:qFormat/>
    <w:rsid w:val="004830C4"/>
    <w:pPr>
      <w:ind w:left="720"/>
      <w:contextualSpacing/>
    </w:pPr>
  </w:style>
  <w:style w:type="paragraph" w:styleId="Header">
    <w:name w:val="header"/>
    <w:basedOn w:val="Normal"/>
    <w:link w:val="HeaderChar"/>
    <w:uiPriority w:val="99"/>
    <w:unhideWhenUsed/>
    <w:rsid w:val="00B07A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A5B"/>
  </w:style>
  <w:style w:type="paragraph" w:styleId="Footer">
    <w:name w:val="footer"/>
    <w:basedOn w:val="Normal"/>
    <w:link w:val="FooterChar"/>
    <w:unhideWhenUsed/>
    <w:rsid w:val="00B07A5B"/>
    <w:pPr>
      <w:tabs>
        <w:tab w:val="center" w:pos="4513"/>
        <w:tab w:val="right" w:pos="9026"/>
      </w:tabs>
      <w:spacing w:after="0" w:line="240" w:lineRule="auto"/>
    </w:pPr>
  </w:style>
  <w:style w:type="character" w:customStyle="1" w:styleId="FooterChar">
    <w:name w:val="Footer Char"/>
    <w:basedOn w:val="DefaultParagraphFont"/>
    <w:link w:val="Footer"/>
    <w:rsid w:val="00B07A5B"/>
  </w:style>
  <w:style w:type="character" w:customStyle="1" w:styleId="ListParagraphChar">
    <w:name w:val="List Paragraph Char"/>
    <w:aliases w:val="Annexure Char,List Paragraph1 Char,heading 9 Char,Heading 91 Char,Heading 911 Char,Heading 9111 Char,Heading 91111 Char,Heading 911111 Char,Ar-Body Text Char,References Char,Bullets Char,Liste 1 Char,SD JURIDIQUE TITRE 5 Char"/>
    <w:link w:val="ListParagraph"/>
    <w:uiPriority w:val="34"/>
    <w:qFormat/>
    <w:rsid w:val="00B07A5B"/>
  </w:style>
  <w:style w:type="paragraph" w:styleId="NoSpacing">
    <w:name w:val="No Spacing"/>
    <w:link w:val="NoSpacingChar"/>
    <w:uiPriority w:val="1"/>
    <w:qFormat/>
    <w:rsid w:val="0070082F"/>
    <w:pPr>
      <w:spacing w:after="0" w:line="240" w:lineRule="auto"/>
    </w:pPr>
    <w:rPr>
      <w:rFonts w:eastAsiaTheme="minorEastAsia"/>
    </w:rPr>
  </w:style>
  <w:style w:type="character" w:customStyle="1" w:styleId="NoSpacingChar">
    <w:name w:val="No Spacing Char"/>
    <w:basedOn w:val="DefaultParagraphFont"/>
    <w:link w:val="NoSpacing"/>
    <w:uiPriority w:val="1"/>
    <w:rsid w:val="0070082F"/>
    <w:rPr>
      <w:rFonts w:eastAsiaTheme="minorEastAsia"/>
    </w:rPr>
  </w:style>
  <w:style w:type="character" w:styleId="CommentReference">
    <w:name w:val="annotation reference"/>
    <w:basedOn w:val="DefaultParagraphFont"/>
    <w:uiPriority w:val="99"/>
    <w:semiHidden/>
    <w:unhideWhenUsed/>
    <w:rsid w:val="00D86DC9"/>
    <w:rPr>
      <w:sz w:val="16"/>
      <w:szCs w:val="16"/>
    </w:rPr>
  </w:style>
  <w:style w:type="paragraph" w:styleId="CommentText">
    <w:name w:val="annotation text"/>
    <w:basedOn w:val="Normal"/>
    <w:link w:val="CommentTextChar"/>
    <w:uiPriority w:val="99"/>
    <w:unhideWhenUsed/>
    <w:rsid w:val="00D86DC9"/>
    <w:pPr>
      <w:spacing w:line="240" w:lineRule="auto"/>
    </w:pPr>
    <w:rPr>
      <w:sz w:val="20"/>
      <w:szCs w:val="20"/>
    </w:rPr>
  </w:style>
  <w:style w:type="character" w:customStyle="1" w:styleId="CommentTextChar">
    <w:name w:val="Comment Text Char"/>
    <w:basedOn w:val="DefaultParagraphFont"/>
    <w:link w:val="CommentText"/>
    <w:uiPriority w:val="99"/>
    <w:rsid w:val="00D86DC9"/>
    <w:rPr>
      <w:sz w:val="20"/>
      <w:szCs w:val="20"/>
    </w:rPr>
  </w:style>
  <w:style w:type="paragraph" w:styleId="CommentSubject">
    <w:name w:val="annotation subject"/>
    <w:basedOn w:val="CommentText"/>
    <w:next w:val="CommentText"/>
    <w:link w:val="CommentSubjectChar"/>
    <w:uiPriority w:val="99"/>
    <w:semiHidden/>
    <w:unhideWhenUsed/>
    <w:rsid w:val="00D86DC9"/>
    <w:rPr>
      <w:b/>
      <w:bCs/>
    </w:rPr>
  </w:style>
  <w:style w:type="character" w:customStyle="1" w:styleId="CommentSubjectChar">
    <w:name w:val="Comment Subject Char"/>
    <w:basedOn w:val="CommentTextChar"/>
    <w:link w:val="CommentSubject"/>
    <w:uiPriority w:val="99"/>
    <w:semiHidden/>
    <w:rsid w:val="00D86DC9"/>
    <w:rPr>
      <w:b/>
      <w:bCs/>
      <w:sz w:val="20"/>
      <w:szCs w:val="20"/>
    </w:rPr>
  </w:style>
  <w:style w:type="paragraph" w:styleId="Revision">
    <w:name w:val="Revision"/>
    <w:hidden/>
    <w:uiPriority w:val="99"/>
    <w:semiHidden/>
    <w:rsid w:val="00F13988"/>
    <w:pPr>
      <w:spacing w:after="0" w:line="240" w:lineRule="auto"/>
    </w:pPr>
  </w:style>
  <w:style w:type="paragraph" w:customStyle="1" w:styleId="pf0">
    <w:name w:val="pf0"/>
    <w:basedOn w:val="Normal"/>
    <w:rsid w:val="004C5A42"/>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cf01">
    <w:name w:val="cf01"/>
    <w:basedOn w:val="DefaultParagraphFont"/>
    <w:rsid w:val="004C5A42"/>
    <w:rPr>
      <w:rFonts w:ascii="Segoe UI" w:hAnsi="Segoe UI" w:cs="Segoe UI" w:hint="default"/>
      <w:sz w:val="18"/>
      <w:szCs w:val="18"/>
    </w:rPr>
  </w:style>
  <w:style w:type="paragraph" w:styleId="NormalWeb">
    <w:name w:val="Normal (Web)"/>
    <w:basedOn w:val="Normal"/>
    <w:uiPriority w:val="99"/>
    <w:semiHidden/>
    <w:unhideWhenUsed/>
    <w:rsid w:val="004A0FA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2E38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8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2347">
      <w:bodyDiv w:val="1"/>
      <w:marLeft w:val="0"/>
      <w:marRight w:val="0"/>
      <w:marTop w:val="0"/>
      <w:marBottom w:val="0"/>
      <w:divBdr>
        <w:top w:val="none" w:sz="0" w:space="0" w:color="auto"/>
        <w:left w:val="none" w:sz="0" w:space="0" w:color="auto"/>
        <w:bottom w:val="none" w:sz="0" w:space="0" w:color="auto"/>
        <w:right w:val="none" w:sz="0" w:space="0" w:color="auto"/>
      </w:divBdr>
    </w:div>
    <w:div w:id="149906559">
      <w:bodyDiv w:val="1"/>
      <w:marLeft w:val="0"/>
      <w:marRight w:val="0"/>
      <w:marTop w:val="0"/>
      <w:marBottom w:val="0"/>
      <w:divBdr>
        <w:top w:val="none" w:sz="0" w:space="0" w:color="auto"/>
        <w:left w:val="none" w:sz="0" w:space="0" w:color="auto"/>
        <w:bottom w:val="none" w:sz="0" w:space="0" w:color="auto"/>
        <w:right w:val="none" w:sz="0" w:space="0" w:color="auto"/>
      </w:divBdr>
    </w:div>
    <w:div w:id="195656253">
      <w:bodyDiv w:val="1"/>
      <w:marLeft w:val="0"/>
      <w:marRight w:val="0"/>
      <w:marTop w:val="0"/>
      <w:marBottom w:val="0"/>
      <w:divBdr>
        <w:top w:val="none" w:sz="0" w:space="0" w:color="auto"/>
        <w:left w:val="none" w:sz="0" w:space="0" w:color="auto"/>
        <w:bottom w:val="none" w:sz="0" w:space="0" w:color="auto"/>
        <w:right w:val="none" w:sz="0" w:space="0" w:color="auto"/>
      </w:divBdr>
    </w:div>
    <w:div w:id="526259268">
      <w:bodyDiv w:val="1"/>
      <w:marLeft w:val="0"/>
      <w:marRight w:val="0"/>
      <w:marTop w:val="0"/>
      <w:marBottom w:val="0"/>
      <w:divBdr>
        <w:top w:val="none" w:sz="0" w:space="0" w:color="auto"/>
        <w:left w:val="none" w:sz="0" w:space="0" w:color="auto"/>
        <w:bottom w:val="none" w:sz="0" w:space="0" w:color="auto"/>
        <w:right w:val="none" w:sz="0" w:space="0" w:color="auto"/>
      </w:divBdr>
    </w:div>
    <w:div w:id="599485588">
      <w:bodyDiv w:val="1"/>
      <w:marLeft w:val="0"/>
      <w:marRight w:val="0"/>
      <w:marTop w:val="0"/>
      <w:marBottom w:val="0"/>
      <w:divBdr>
        <w:top w:val="none" w:sz="0" w:space="0" w:color="auto"/>
        <w:left w:val="none" w:sz="0" w:space="0" w:color="auto"/>
        <w:bottom w:val="none" w:sz="0" w:space="0" w:color="auto"/>
        <w:right w:val="none" w:sz="0" w:space="0" w:color="auto"/>
      </w:divBdr>
    </w:div>
    <w:div w:id="661078555">
      <w:bodyDiv w:val="1"/>
      <w:marLeft w:val="0"/>
      <w:marRight w:val="0"/>
      <w:marTop w:val="0"/>
      <w:marBottom w:val="0"/>
      <w:divBdr>
        <w:top w:val="none" w:sz="0" w:space="0" w:color="auto"/>
        <w:left w:val="none" w:sz="0" w:space="0" w:color="auto"/>
        <w:bottom w:val="none" w:sz="0" w:space="0" w:color="auto"/>
        <w:right w:val="none" w:sz="0" w:space="0" w:color="auto"/>
      </w:divBdr>
    </w:div>
    <w:div w:id="729693210">
      <w:bodyDiv w:val="1"/>
      <w:marLeft w:val="0"/>
      <w:marRight w:val="0"/>
      <w:marTop w:val="0"/>
      <w:marBottom w:val="0"/>
      <w:divBdr>
        <w:top w:val="none" w:sz="0" w:space="0" w:color="auto"/>
        <w:left w:val="none" w:sz="0" w:space="0" w:color="auto"/>
        <w:bottom w:val="none" w:sz="0" w:space="0" w:color="auto"/>
        <w:right w:val="none" w:sz="0" w:space="0" w:color="auto"/>
      </w:divBdr>
    </w:div>
    <w:div w:id="1087651385">
      <w:bodyDiv w:val="1"/>
      <w:marLeft w:val="0"/>
      <w:marRight w:val="0"/>
      <w:marTop w:val="0"/>
      <w:marBottom w:val="0"/>
      <w:divBdr>
        <w:top w:val="none" w:sz="0" w:space="0" w:color="auto"/>
        <w:left w:val="none" w:sz="0" w:space="0" w:color="auto"/>
        <w:bottom w:val="none" w:sz="0" w:space="0" w:color="auto"/>
        <w:right w:val="none" w:sz="0" w:space="0" w:color="auto"/>
      </w:divBdr>
    </w:div>
    <w:div w:id="1393388047">
      <w:bodyDiv w:val="1"/>
      <w:marLeft w:val="0"/>
      <w:marRight w:val="0"/>
      <w:marTop w:val="0"/>
      <w:marBottom w:val="0"/>
      <w:divBdr>
        <w:top w:val="none" w:sz="0" w:space="0" w:color="auto"/>
        <w:left w:val="none" w:sz="0" w:space="0" w:color="auto"/>
        <w:bottom w:val="none" w:sz="0" w:space="0" w:color="auto"/>
        <w:right w:val="none" w:sz="0" w:space="0" w:color="auto"/>
      </w:divBdr>
    </w:div>
    <w:div w:id="1443573070">
      <w:bodyDiv w:val="1"/>
      <w:marLeft w:val="0"/>
      <w:marRight w:val="0"/>
      <w:marTop w:val="0"/>
      <w:marBottom w:val="0"/>
      <w:divBdr>
        <w:top w:val="none" w:sz="0" w:space="0" w:color="auto"/>
        <w:left w:val="none" w:sz="0" w:space="0" w:color="auto"/>
        <w:bottom w:val="none" w:sz="0" w:space="0" w:color="auto"/>
        <w:right w:val="none" w:sz="0" w:space="0" w:color="auto"/>
      </w:divBdr>
    </w:div>
    <w:div w:id="1512336931">
      <w:bodyDiv w:val="1"/>
      <w:marLeft w:val="0"/>
      <w:marRight w:val="0"/>
      <w:marTop w:val="0"/>
      <w:marBottom w:val="0"/>
      <w:divBdr>
        <w:top w:val="none" w:sz="0" w:space="0" w:color="auto"/>
        <w:left w:val="none" w:sz="0" w:space="0" w:color="auto"/>
        <w:bottom w:val="none" w:sz="0" w:space="0" w:color="auto"/>
        <w:right w:val="none" w:sz="0" w:space="0" w:color="auto"/>
      </w:divBdr>
    </w:div>
    <w:div w:id="1572041078">
      <w:bodyDiv w:val="1"/>
      <w:marLeft w:val="0"/>
      <w:marRight w:val="0"/>
      <w:marTop w:val="0"/>
      <w:marBottom w:val="0"/>
      <w:divBdr>
        <w:top w:val="none" w:sz="0" w:space="0" w:color="auto"/>
        <w:left w:val="none" w:sz="0" w:space="0" w:color="auto"/>
        <w:bottom w:val="none" w:sz="0" w:space="0" w:color="auto"/>
        <w:right w:val="none" w:sz="0" w:space="0" w:color="auto"/>
      </w:divBdr>
    </w:div>
    <w:div w:id="1615595992">
      <w:bodyDiv w:val="1"/>
      <w:marLeft w:val="0"/>
      <w:marRight w:val="0"/>
      <w:marTop w:val="0"/>
      <w:marBottom w:val="0"/>
      <w:divBdr>
        <w:top w:val="none" w:sz="0" w:space="0" w:color="auto"/>
        <w:left w:val="none" w:sz="0" w:space="0" w:color="auto"/>
        <w:bottom w:val="none" w:sz="0" w:space="0" w:color="auto"/>
        <w:right w:val="none" w:sz="0" w:space="0" w:color="auto"/>
      </w:divBdr>
    </w:div>
    <w:div w:id="1778255756">
      <w:bodyDiv w:val="1"/>
      <w:marLeft w:val="0"/>
      <w:marRight w:val="0"/>
      <w:marTop w:val="0"/>
      <w:marBottom w:val="0"/>
      <w:divBdr>
        <w:top w:val="none" w:sz="0" w:space="0" w:color="auto"/>
        <w:left w:val="none" w:sz="0" w:space="0" w:color="auto"/>
        <w:bottom w:val="none" w:sz="0" w:space="0" w:color="auto"/>
        <w:right w:val="none" w:sz="0" w:space="0" w:color="auto"/>
      </w:divBdr>
    </w:div>
    <w:div w:id="179486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This policy lays out the Interest Rate model for determining the lending rate for loans to different product &amp; customer segments</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eef60fe-3e16-4b77-b2b7-d1dd77c137f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9EE1C37A9B0341BC1734CB3CC14D35" ma:contentTypeVersion="11" ma:contentTypeDescription="Create a new document." ma:contentTypeScope="" ma:versionID="c9c3b569a10185bd33b98886c6abfd14">
  <xsd:schema xmlns:xsd="http://www.w3.org/2001/XMLSchema" xmlns:xs="http://www.w3.org/2001/XMLSchema" xmlns:p="http://schemas.microsoft.com/office/2006/metadata/properties" xmlns:ns3="9eef60fe-3e16-4b77-b2b7-d1dd77c137fe" targetNamespace="http://schemas.microsoft.com/office/2006/metadata/properties" ma:root="true" ma:fieldsID="fdcc67bfaf0c495550f4909cb4894055" ns3:_="">
    <xsd:import namespace="9eef60fe-3e16-4b77-b2b7-d1dd77c137f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f60fe-3e16-4b77-b2b7-d1dd77c137f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DAD024-AC7B-4ACB-BC60-42CBB736152B}">
  <ds:schemaRefs>
    <ds:schemaRef ds:uri="http://schemas.microsoft.com/sharepoint/v3/contenttype/forms"/>
  </ds:schemaRefs>
</ds:datastoreItem>
</file>

<file path=customXml/itemProps3.xml><?xml version="1.0" encoding="utf-8"?>
<ds:datastoreItem xmlns:ds="http://schemas.openxmlformats.org/officeDocument/2006/customXml" ds:itemID="{18C35DDB-026B-43AE-BEAD-CB1022800272}">
  <ds:schemaRefs>
    <ds:schemaRef ds:uri="http://schemas.microsoft.com/office/2006/metadata/properties"/>
    <ds:schemaRef ds:uri="http://schemas.microsoft.com/office/infopath/2007/PartnerControls"/>
    <ds:schemaRef ds:uri="9eef60fe-3e16-4b77-b2b7-d1dd77c137fe"/>
  </ds:schemaRefs>
</ds:datastoreItem>
</file>

<file path=customXml/itemProps4.xml><?xml version="1.0" encoding="utf-8"?>
<ds:datastoreItem xmlns:ds="http://schemas.openxmlformats.org/officeDocument/2006/customXml" ds:itemID="{730B84B3-7BE9-4E9E-9356-D1807C60B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f60fe-3e16-4b77-b2b7-d1dd77c13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006DAD-DD73-44EF-A359-4AA1FFF2F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2535</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Interest RATE POLICY</vt:lpstr>
    </vt:vector>
  </TitlesOfParts>
  <Company/>
  <LinksUpToDate>false</LinksUpToDate>
  <CharactersWithSpaces>16958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Interest RATE POLICY</dc:title>
  <dc:subject>October 2022</dc:subject>
  <dc:creator>ABHISHEK CHOKHANI</dc:creator>
  <cp:keywords/>
  <dc:description/>
  <cp:lastModifiedBy>DSOUZA CANDIDA-MMFSL</cp:lastModifiedBy>
  <cp:revision>15</cp:revision>
  <cp:lastPrinted>2025-01-30T11:34:00Z</cp:lastPrinted>
  <dcterms:created xsi:type="dcterms:W3CDTF">2026-04-29T13:30:00Z</dcterms:created>
  <dcterms:modified xsi:type="dcterms:W3CDTF">2026-04-29T13:44:00Z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0x010100CF9EE1C37A9B0341BC1734CB3CC14D35</vt:lpwstr>
  </property>
</Properties>
</file>